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5980df3a.htm"/>
        <w:bookmarkStart w:id="1" w:name="ksd55980df3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United States Securities and Exchange Commission on May 15,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333-294154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4"/>
        </w:rPr>
      </w:pPr>
      <w:r>
        <w:rPr>
          <w:rFonts w:ascii="Times New Roman" w:hAnsi="Times New Roman"/>
          <w:b/>
          <w:sz w:val="34"/>
        </w:rPr>
        <w:t xml:space="preserve">Amendment No. 1 </w:t>
      </w:r>
    </w:p>
    <w:p>
      <w:pPr>
        <w:pStyle w:val="TextBody"/>
        <w:bidi w:val="0"/>
        <w:spacing w:before="0" w:after="0"/>
        <w:jc w:val="center"/>
        <w:rPr>
          <w:rFonts w:ascii="Times New Roman" w:hAnsi="Times New Roman"/>
          <w:b/>
          <w:sz w:val="34"/>
        </w:rPr>
      </w:pPr>
      <w:r>
        <w:rPr>
          <w:rFonts w:ascii="Times New Roman" w:hAnsi="Times New Roman"/>
          <w:b/>
          <w:sz w:val="34"/>
        </w:rPr>
        <w:t xml:space="preserve">to </w:t>
      </w:r>
    </w:p>
    <w:p>
      <w:pPr>
        <w:pStyle w:val="TextBody"/>
        <w:bidi w:val="0"/>
        <w:spacing w:before="0" w:after="0"/>
        <w:jc w:val="center"/>
        <w:rPr>
          <w:rFonts w:ascii="Times New Roman" w:hAnsi="Times New Roman"/>
          <w:b/>
          <w:sz w:val="34"/>
        </w:rPr>
      </w:pPr>
      <w:r>
        <w:rPr>
          <w:rFonts w:ascii="Times New Roman" w:hAnsi="Times New Roman"/>
          <w:b/>
          <w:sz w:val="34"/>
        </w:rPr>
        <w:t xml:space="preserve">FORM F-3 </w:t>
      </w:r>
    </w:p>
    <w:p>
      <w:pPr>
        <w:pStyle w:val="TextBody"/>
        <w:bidi w:val="0"/>
        <w:spacing w:before="0" w:after="0"/>
        <w:jc w:val="center"/>
        <w:rPr>
          <w:rFonts w:ascii="Times New Roman" w:hAnsi="Times New Roman"/>
          <w:b/>
          <w:sz w:val="34"/>
        </w:rPr>
      </w:pPr>
      <w:r>
        <w:rPr>
          <w:rFonts w:ascii="Times New Roman" w:hAnsi="Times New Roman"/>
          <w:b/>
          <w:sz w:val="34"/>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6"/>
        </w:rPr>
      </w:pPr>
      <w:r>
        <w:rPr>
          <w:rFonts w:ascii="Times New Roman" w:hAnsi="Times New Roman"/>
          <w:b/>
          <w:sz w:val="46"/>
        </w:rPr>
        <w:t xml:space="preserve">Apollomics Inc. </w:t>
      </w:r>
    </w:p>
    <w:p>
      <w:pPr>
        <w:pStyle w:val="TextBody"/>
        <w:bidi w:val="0"/>
        <w:spacing w:before="12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Cayman Islands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Not Applicable</w:t>
            </w:r>
          </w:p>
        </w:tc>
      </w:tr>
      <w:tr>
        <w:trPr/>
        <w:tc>
          <w:tcPr>
            <w:tcW w:w="5153" w:type="dxa"/>
            <w:tcBorders/>
          </w:tcPr>
          <w:p>
            <w:pPr>
              <w:pStyle w:val="TableContents"/>
              <w:bidi w:val="0"/>
              <w:spacing w:before="0" w:after="283"/>
              <w:jc w:val="center"/>
              <w:rPr>
                <w:b/>
              </w:rPr>
            </w:pPr>
            <w:r>
              <w:rPr>
                <w:b/>
              </w:rPr>
              <w:t>(State or Other Jurisdiction of</w:t>
              <w:b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989 E. Hillsdale Blvd., Suite 220 </w:t>
      </w:r>
    </w:p>
    <w:p>
      <w:pPr>
        <w:pStyle w:val="TextBody"/>
        <w:bidi w:val="0"/>
        <w:spacing w:before="0" w:after="0"/>
        <w:jc w:val="center"/>
        <w:rPr>
          <w:rFonts w:ascii="Times New Roman" w:hAnsi="Times New Roman"/>
          <w:b/>
          <w:sz w:val="18"/>
        </w:rPr>
      </w:pPr>
      <w:r>
        <w:rPr>
          <w:rFonts w:ascii="Times New Roman" w:hAnsi="Times New Roman"/>
          <w:b/>
          <w:sz w:val="18"/>
        </w:rPr>
        <w:t xml:space="preserve">Foster City, CA 94404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(650) 209-4055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Hung-Wen (Howard) Chen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989 E. Hillsdale Blvd., Suite 220 </w:t>
      </w:r>
    </w:p>
    <w:p>
      <w:pPr>
        <w:pStyle w:val="TextBody"/>
        <w:bidi w:val="0"/>
        <w:spacing w:before="0" w:after="0"/>
        <w:jc w:val="center"/>
        <w:rPr>
          <w:rFonts w:ascii="Times New Roman" w:hAnsi="Times New Roman"/>
          <w:b/>
          <w:sz w:val="18"/>
        </w:rPr>
      </w:pPr>
      <w:r>
        <w:rPr>
          <w:rFonts w:ascii="Times New Roman" w:hAnsi="Times New Roman"/>
          <w:b/>
          <w:sz w:val="18"/>
        </w:rPr>
        <w:t xml:space="preserve">Foster City, CA 94404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(650) 209-4055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Alison Pear Buchalter, APC 805 SW Broadway #1500 Portland, OR 97205 Telephone: (503) 226-1191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the effectiveness of this registration statement. </w:t>
      </w:r>
    </w:p>
    <w:p>
      <w:pPr>
        <w:pStyle w:val="TextBody"/>
        <w:bidi w:val="0"/>
        <w:spacing w:before="120" w:after="0"/>
        <w:jc w:val="left"/>
        <w:rPr>
          <w:rFonts w:ascii="Times New Roman" w:hAnsi="Times New Roman"/>
          <w:sz w:val="18"/>
        </w:rPr>
      </w:pPr>
      <w:r>
        <w:rPr>
          <w:rFonts w:ascii="Times New Roman" w:hAnsi="Times New Roman"/>
          <w:sz w:val="18"/>
        </w:rPr>
        <w:t xml:space="preserve">If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an emerging growth company as defined in Rule 405 of the Securities Act of 1933. Emerging growth company ☒ </w:t>
      </w:r>
    </w:p>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left"/>
        <w:rPr>
          <w:rFonts w:ascii="Times New Roman" w:hAnsi="Times New Roman"/>
          <w:sz w:val="18"/>
        </w:rPr>
      </w:pPr>
      <w:r>
        <w:rPr>
          <w:rFonts w:ascii="Times New Roman" w:hAnsi="Times New Roman"/>
          <w:sz w:val="18"/>
        </w:rPr>
        <w:t xml:space="preserve"> The term “new or revised financial accounting standard” refers to any update issued by the Financial Accounting Standards Board to its Accounting Standards Codification after April 5, 2012.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U.S.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Apollomics Inc. is filing this amendment (this “Amendment”) to the registration statement on Form F-3 (Registration No. 333-294154) (the “Registration Statement”) to reflect updates related to the filing of the Company’s Annual Report on Form 20-F, including updates the exhibit index and exhibits to reflect the auditors for each set of financial statements incorporated by reference herein.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FF4338"/>
          <w:sz w:val="20"/>
        </w:rPr>
      </w:pPr>
      <w:r>
        <w:rPr>
          <w:rFonts w:ascii="ARIAL" w:hAnsi="ARIAL"/>
          <w:b/>
          <w:color w:val="FF4338"/>
          <w:sz w:val="20"/>
        </w:rPr>
        <w:t xml:space="preserve">The information contained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MAY [ ],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APOLLOMICS INC.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274570" cy="901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4570" cy="9017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SECONDARY OFFERING OF </w:t>
      </w:r>
    </w:p>
    <w:p>
      <w:pPr>
        <w:pStyle w:val="TextBody"/>
        <w:bidi w:val="0"/>
        <w:spacing w:before="0" w:after="0"/>
        <w:ind w:left="960" w:right="960" w:hanging="0"/>
        <w:jc w:val="center"/>
        <w:rPr>
          <w:rFonts w:ascii="Times New Roman" w:hAnsi="Times New Roman"/>
          <w:b/>
          <w:sz w:val="36"/>
        </w:rPr>
      </w:pPr>
      <w:r>
        <w:rPr>
          <w:rFonts w:ascii="Times New Roman" w:hAnsi="Times New Roman"/>
          <w:b/>
          <w:sz w:val="36"/>
        </w:rPr>
        <w:t xml:space="preserve">279,775 Class A Ordinary Shares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This prospectus relates to the offer and sale from time to time, by the selling securityholders named in this prospectus (collectively, the “</w:t>
      </w:r>
      <w:r>
        <w:rPr>
          <w:rFonts w:ascii="Times New Roman" w:hAnsi="Times New Roman"/>
          <w:b/>
          <w:i/>
          <w:sz w:val="20"/>
        </w:rPr>
        <w:t>Selling Securityholders</w:t>
      </w:r>
      <w:r>
        <w:rPr>
          <w:rFonts w:ascii="Times New Roman" w:hAnsi="Times New Roman"/>
          <w:sz w:val="20"/>
        </w:rPr>
        <w:t>”), of up to 279,775 Class A ordinary shares, par value $0.01 per share (each a “</w:t>
      </w:r>
      <w:r>
        <w:rPr>
          <w:rFonts w:ascii="Times New Roman" w:hAnsi="Times New Roman"/>
          <w:b/>
          <w:i/>
          <w:sz w:val="20"/>
        </w:rPr>
        <w:t>Class</w:t>
      </w:r>
      <w:r>
        <w:rPr>
          <w:rFonts w:ascii="Times New Roman" w:hAnsi="Times New Roman"/>
          <w:sz w:val="20"/>
        </w:rPr>
        <w:t> </w:t>
      </w:r>
      <w:r>
        <w:rPr>
          <w:rFonts w:ascii="Times New Roman" w:hAnsi="Times New Roman"/>
          <w:b/>
          <w:i/>
          <w:sz w:val="20"/>
        </w:rPr>
        <w:t>A Ordinary Share</w:t>
      </w:r>
      <w:r>
        <w:rPr>
          <w:rFonts w:ascii="Times New Roman" w:hAnsi="Times New Roman"/>
          <w:sz w:val="20"/>
        </w:rPr>
        <w:t>” and such shares that may be offered and sold by the Selling Securityholders hereunder, the “</w:t>
      </w:r>
      <w:r>
        <w:rPr>
          <w:rFonts w:ascii="Times New Roman" w:hAnsi="Times New Roman"/>
          <w:b/>
          <w:i/>
          <w:sz w:val="20"/>
        </w:rPr>
        <w:t>PIPE Shares</w:t>
      </w:r>
      <w:r>
        <w:rPr>
          <w:rFonts w:ascii="Times New Roman" w:hAnsi="Times New Roman"/>
          <w:sz w:val="20"/>
        </w:rPr>
        <w:t>”), of Apollomics Inc., a Cayman Islands exempted company (“</w:t>
      </w:r>
      <w:r>
        <w:rPr>
          <w:rFonts w:ascii="Times New Roman" w:hAnsi="Times New Roman"/>
          <w:b/>
          <w:i/>
          <w:sz w:val="20"/>
        </w:rPr>
        <w:t>us</w:t>
      </w:r>
      <w:r>
        <w:rPr>
          <w:rFonts w:ascii="Times New Roman" w:hAnsi="Times New Roman"/>
          <w:sz w:val="20"/>
        </w:rPr>
        <w:t>,” “</w:t>
      </w:r>
      <w:r>
        <w:rPr>
          <w:rFonts w:ascii="Times New Roman" w:hAnsi="Times New Roman"/>
          <w:b/>
          <w:i/>
          <w:sz w:val="20"/>
        </w:rPr>
        <w:t>we</w:t>
      </w:r>
      <w:r>
        <w:rPr>
          <w:rFonts w:ascii="Times New Roman" w:hAnsi="Times New Roman"/>
          <w:sz w:val="20"/>
        </w:rPr>
        <w:t>,” “</w:t>
      </w:r>
      <w:r>
        <w:rPr>
          <w:rFonts w:ascii="Times New Roman" w:hAnsi="Times New Roman"/>
          <w:b/>
          <w:i/>
          <w:sz w:val="20"/>
        </w:rPr>
        <w:t>Apollomics</w:t>
      </w:r>
      <w:r>
        <w:rPr>
          <w:rFonts w:ascii="Times New Roman" w:hAnsi="Times New Roman"/>
          <w:sz w:val="20"/>
        </w:rPr>
        <w:t>” or the “</w:t>
      </w:r>
      <w:r>
        <w:rPr>
          <w:rFonts w:ascii="Times New Roman" w:hAnsi="Times New Roman"/>
          <w:b/>
          <w:i/>
          <w:sz w:val="20"/>
        </w:rPr>
        <w:t>Company</w:t>
      </w:r>
      <w:r>
        <w:rPr>
          <w:rFonts w:ascii="Times New Roman" w:hAnsi="Times New Roman"/>
          <w:sz w:val="20"/>
        </w:rPr>
        <w:t>”), that were issued to the Selling Securityholders pursuant to subscription agreements entered into on September 2, 2025, by and between Apollomics and the Selling Securityholders (the “</w:t>
      </w:r>
      <w:r>
        <w:rPr>
          <w:rFonts w:ascii="Times New Roman" w:hAnsi="Times New Roman"/>
          <w:b/>
          <w:i/>
          <w:sz w:val="20"/>
        </w:rPr>
        <w:t>Subscription Agreements</w:t>
      </w:r>
      <w:r>
        <w:rPr>
          <w:rFonts w:ascii="Times New Roman" w:hAnsi="Times New Roman"/>
          <w:sz w:val="20"/>
        </w:rPr>
        <w:t xml:space="preserv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registering the offer and sale of the PIPE Shares to satisfy certain registration rights we have granted. The Selling Securityholders may offer all or part of the PIPE Shares for resale from time to time through public or private transactions, at either prevailing market prices or at privately negotiated prices. The PIPE Shares are being registered to permit the Selling Securityholders to sell such shares from time to time, in amounts, at prices and on terms determined at the time of offering. The Selling Securityholders may sell the PIPE Shares through ordinary brokerage transactions, in underwritten offerings, directly to market makers of our shares or through any other means described in the section entitled “Plan of Distribution” herein. In connection with any sales of the PIPE Shares offered hereunder, the Selling Securityholders, any underwriters, agents, brokers or dealers participating in such sales may be deemed to be “underwriters” within the meaning of the Securities Act of 1933, as amended (the “</w:t>
      </w:r>
      <w:r>
        <w:rPr>
          <w:rFonts w:ascii="Times New Roman" w:hAnsi="Times New Roman"/>
          <w:b/>
          <w:i/>
          <w:sz w:val="20"/>
        </w:rPr>
        <w:t>Securities Act</w:t>
      </w:r>
      <w:r>
        <w:rPr>
          <w:rFonts w:ascii="Times New Roman" w:hAnsi="Times New Roman"/>
          <w:sz w:val="20"/>
        </w:rPr>
        <w:t xml:space="preserve">”). We are registering the PIPE Shares for resale by the Selling Securityholders, or their donees, pledgees, transferees, distributees or other successors-in-interest selling the PIPE Shares or interests in the PIPE Shares received after the date of this prospectus from the Selling Securityholders as a gift, pledge, partnership distribution or other transfer.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will pay certain expenses associated with the registration of the PIPE Shares covered by this prospectus, as described in the section entitled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ind w:left="960" w:right="960" w:hanging="0"/>
        <w:jc w:val="left"/>
        <w:rPr>
          <w:rFonts w:ascii="Times New Roman" w:hAnsi="Times New Roman"/>
          <w:b/>
          <w:i/>
          <w:sz w:val="20"/>
        </w:rPr>
      </w:pPr>
      <w:r>
        <w:rPr>
          <w:rFonts w:ascii="Times New Roman" w:hAnsi="Times New Roman"/>
          <w:b/>
          <w:i/>
          <w:sz w:val="20"/>
        </w:rPr>
        <w:t xml:space="preserve">We may amend or supplement this prospectus from time to time by filing amendments or supplements as required. You should read this entire prospectus and any amendments or supplements carefully before you make your investment decision. Our Class A Ordinary Shares and warrants are listed on the Nasdaq Capital Market, (“Nasdaq”) under the trading symbols “APLM” and “APLMW,” respectively. On May 14, 2026, the closing prices for our Class A Ordinary Shares and warrants on Nasdaq were $13.60 per share and $0.0153 per warrant, respectively.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an “emerging growth company” as defined in the Jumpstart Our Business Startups Act of 2012 and is therefore eligible to take advantage of certain reduced reporting requirements applicable to such public companies. </w:t>
      </w:r>
    </w:p>
    <w:p>
      <w:pPr>
        <w:pStyle w:val="TextBody"/>
        <w:bidi w:val="0"/>
        <w:spacing w:before="360" w:after="0"/>
        <w:ind w:left="960" w:right="960" w:hanging="0"/>
        <w:jc w:val="left"/>
        <w:rPr>
          <w:rFonts w:ascii="Times New Roman" w:hAnsi="Times New Roman"/>
          <w:b/>
          <w:i/>
          <w:sz w:val="20"/>
        </w:rPr>
      </w:pPr>
      <w:r>
        <w:rPr>
          <w:rFonts w:ascii="Times New Roman" w:hAnsi="Times New Roman"/>
          <w:b/>
          <w:i/>
          <w:sz w:val="20"/>
        </w:rPr>
        <w:t xml:space="preserve">We are also a “foreign private issuer” as defined in the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will be exempt from the reporting and “short-swing” profit recovery provisions under Section 16 of the Exchange Act. Moreover, we are not required to file periodic reports and financial statements with the SEC as frequently or as promptly as U.S. companies whose securities are registered under the Exchange Act.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are a holding company incorporated in the Cayman Islands with our headquarters in the United States. Our operations are presently conducted in our U.S. headquarters and in one of our wholly-owned subsidiaries in the People’s Republic of China (“</w:t>
      </w:r>
      <w:r>
        <w:rPr>
          <w:rFonts w:ascii="Times New Roman" w:hAnsi="Times New Roman"/>
          <w:b/>
          <w:i/>
          <w:sz w:val="20"/>
        </w:rPr>
        <w:t>China</w:t>
      </w:r>
      <w:r>
        <w:rPr>
          <w:rFonts w:ascii="Times New Roman" w:hAnsi="Times New Roman"/>
          <w:sz w:val="20"/>
        </w:rPr>
        <w:t>” or “</w:t>
      </w:r>
      <w:r>
        <w:rPr>
          <w:rFonts w:ascii="Times New Roman" w:hAnsi="Times New Roman"/>
          <w:b/>
          <w:i/>
          <w:sz w:val="20"/>
        </w:rPr>
        <w:t>PRC</w:t>
      </w:r>
      <w:r>
        <w:rPr>
          <w:rFonts w:ascii="Times New Roman" w:hAnsi="Times New Roman"/>
          <w:sz w:val="20"/>
        </w:rPr>
        <w:t>”). Throughout this prospectus, unless the context indicates otherwise, (1) references to “</w:t>
      </w:r>
      <w:r>
        <w:rPr>
          <w:rFonts w:ascii="Times New Roman" w:hAnsi="Times New Roman"/>
          <w:b/>
          <w:i/>
          <w:sz w:val="20"/>
        </w:rPr>
        <w:t>Apollomics</w:t>
      </w:r>
      <w:r>
        <w:rPr>
          <w:rFonts w:ascii="Times New Roman" w:hAnsi="Times New Roman"/>
          <w:sz w:val="20"/>
        </w:rPr>
        <w:t>,” “</w:t>
      </w:r>
      <w:r>
        <w:rPr>
          <w:rFonts w:ascii="Times New Roman" w:hAnsi="Times New Roman"/>
          <w:b/>
          <w:i/>
          <w:sz w:val="20"/>
        </w:rPr>
        <w:t>we</w:t>
      </w:r>
      <w:r>
        <w:rPr>
          <w:rFonts w:ascii="Times New Roman" w:hAnsi="Times New Roman"/>
          <w:sz w:val="20"/>
        </w:rPr>
        <w:t>” or “</w:t>
      </w:r>
      <w:r>
        <w:rPr>
          <w:rFonts w:ascii="Times New Roman" w:hAnsi="Times New Roman"/>
          <w:b/>
          <w:i/>
          <w:sz w:val="20"/>
        </w:rPr>
        <w:t>us</w:t>
      </w:r>
      <w:r>
        <w:rPr>
          <w:rFonts w:ascii="Times New Roman" w:hAnsi="Times New Roman"/>
          <w:sz w:val="20"/>
        </w:rPr>
        <w:t>” refer to Apollomics Inc., the registrant and the Cayman Islands holding company that is the current holding company of the group, (2) references to “</w:t>
      </w:r>
      <w:r>
        <w:rPr>
          <w:rFonts w:ascii="Times New Roman" w:hAnsi="Times New Roman"/>
          <w:b/>
          <w:i/>
          <w:sz w:val="20"/>
        </w:rPr>
        <w:t>Apollomics US</w:t>
      </w:r>
      <w:r>
        <w:rPr>
          <w:rFonts w:ascii="Times New Roman" w:hAnsi="Times New Roman"/>
          <w:sz w:val="20"/>
        </w:rPr>
        <w:t>” refer to Apollomics Inc. (formerly known as CBT Pharmaceuticals, Inc.), a California corporation, and the headquarters and a wholly-owned subsidiary of Apollomics, (3) references to “</w:t>
      </w:r>
      <w:r>
        <w:rPr>
          <w:rFonts w:ascii="Times New Roman" w:hAnsi="Times New Roman"/>
          <w:b/>
          <w:i/>
          <w:sz w:val="20"/>
        </w:rPr>
        <w:t>Maxpro</w:t>
      </w:r>
      <w:r>
        <w:rPr>
          <w:rFonts w:ascii="Times New Roman" w:hAnsi="Times New Roman"/>
          <w:sz w:val="20"/>
        </w:rPr>
        <w:t>” refer to Maxpro Capital Acquisition Corp., a Delaware corporation, a blank check company which has become a wholly-owned subsidiary of Apollomics as a result of our business combination with Maxpro, (4) references to “</w:t>
      </w:r>
      <w:r>
        <w:rPr>
          <w:rFonts w:ascii="Times New Roman" w:hAnsi="Times New Roman"/>
          <w:b/>
          <w:i/>
          <w:sz w:val="20"/>
        </w:rPr>
        <w:t>Apollomics AU</w:t>
      </w:r>
      <w:r>
        <w:rPr>
          <w:rFonts w:ascii="Times New Roman" w:hAnsi="Times New Roman"/>
          <w:sz w:val="20"/>
        </w:rPr>
        <w:t>” refer to Apollomics (Australia) Pty Ltd (formerly known as CBT Pharmaceuticals (Australia) Pty Ltd), an Australian proprietary company registered in Victoria, Australia and a wholly-owned subsidiary of Apollomics, and (5) references to “</w:t>
      </w:r>
      <w:r>
        <w:rPr>
          <w:rFonts w:ascii="Times New Roman" w:hAnsi="Times New Roman"/>
          <w:b/>
          <w:i/>
          <w:sz w:val="20"/>
        </w:rPr>
        <w:t>Apollomics HK</w:t>
      </w:r>
      <w:r>
        <w:rPr>
          <w:rFonts w:ascii="Times New Roman" w:hAnsi="Times New Roman"/>
          <w:sz w:val="20"/>
        </w:rPr>
        <w:t>” refer to Apollomics (Hong Kong) Limited, a limited company incorporated under the laws of Hong Kong, a wholly owned subsidiary of Apollomics, and the intermediary holding company of Apollomics’ two wholly-owned subsidiaries based in China, Zhejiang Crownmab Biotech Co. Ltd. (“</w:t>
      </w:r>
      <w:r>
        <w:rPr>
          <w:rFonts w:ascii="Times New Roman" w:hAnsi="Times New Roman"/>
          <w:b/>
          <w:i/>
          <w:sz w:val="20"/>
        </w:rPr>
        <w:t>Crownmab</w:t>
      </w:r>
      <w:r>
        <w:rPr>
          <w:rFonts w:ascii="Times New Roman" w:hAnsi="Times New Roman"/>
          <w:sz w:val="20"/>
        </w:rPr>
        <w:t>”) and Zhejiang Crown Bochuang Biopharma Co. Ltd. (“</w:t>
      </w:r>
      <w:r>
        <w:rPr>
          <w:rFonts w:ascii="Times New Roman" w:hAnsi="Times New Roman"/>
          <w:b/>
          <w:i/>
          <w:sz w:val="20"/>
        </w:rPr>
        <w:t>Crown Bochuang</w:t>
      </w:r>
      <w:r>
        <w:rPr>
          <w:rFonts w:ascii="Times New Roman" w:hAnsi="Times New Roman"/>
          <w:sz w:val="20"/>
        </w:rPr>
        <w:t>,” together with Crownmab, the “</w:t>
      </w:r>
      <w:r>
        <w:rPr>
          <w:rFonts w:ascii="Times New Roman" w:hAnsi="Times New Roman"/>
          <w:b/>
          <w:i/>
          <w:sz w:val="20"/>
        </w:rPr>
        <w:t>PRC Subsidiaries</w:t>
      </w:r>
      <w:r>
        <w:rPr>
          <w:rFonts w:ascii="Times New Roman" w:hAnsi="Times New Roman"/>
          <w:sz w:val="20"/>
        </w:rPr>
        <w:t>”). Apollomics US and Crownmab conduct Apollomics’ daily business operations. For a diagram depicting Apollomics’ corporate structure, see “</w:t>
      </w:r>
      <w:r>
        <w:rPr>
          <w:rFonts w:ascii="Times New Roman" w:hAnsi="Times New Roman"/>
          <w:i/>
          <w:sz w:val="20"/>
        </w:rPr>
        <w:t>Prospectus Summary-Overview-Structure of Apollomics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Investors in our securities are investing in a Cayman Islands holding company rather than securities of our operating subsidiaries. Such structure involves unique risks to investors. In particular, because some of our operations are conducted in China through the PRC Subsidiaries, we may face various legal and operational risks associated with doing business in Greater China (as defined in this prospectus). These risks arise from, among other things, PRC governmental authorities’ significant oversight and discretion over the business and financing activities of the PRC Subsidiaries, the complex and evolving PRC legal system, frequent changes in laws, regulations and government policies, uncertainties and inconsistencies regarding the interpretation and enforcement of laws and regulations, potential difficulties or delays in obtaining necessary regulatory approvals, and increasing oversight on cybersecurity and data privacy and potential anti-monopoly actions related to the PRC government’s recently issued statements and instituted regulatory actions. Recently, the PRC government initiated a series of regulatory actions and made a number of public statements on the regulation of business operations in the PRC with little advance notice, including cracking down on illegal activities in the securities market, adopting new measures to extend the scope of cybersecurity reviews, and expanding efforts in anti- monopoly enforcement. Neither of our PRC subsidiaries is qualified as a critical information infrastructure operator or has conducted any data processing activities that affect or may affect national security. Because these statements and regulatory actions are new, however, it is difficult to ascertain how quickly the PRC legislative or administrative regulation making bodies will respond to them, or what existing or new laws or regulations will be modified or promulgated, if any, or the potential impact such modified or new laws and regulations will have on the daily business operations of our PRC subsidiaries or their ability to accept foreign investments and the value of our securities. These risks could result in a material change in the operations of our PRC Subsidiaries, limit or hinder their abilities to accept investments from outside of China, and impact our ability to list on a U.S. or other foreign stock exchange and to offer or continue to offer securities to foreign investors, which could cause the value of our securities to significantly decline or become worthless. For a detailed description of the risks related to our holding company structure and doing business in Greater China, see “</w:t>
      </w:r>
      <w:r>
        <w:rPr>
          <w:rFonts w:ascii="Times New Roman" w:hAnsi="Times New Roman"/>
          <w:i/>
          <w:sz w:val="20"/>
        </w:rPr>
        <w:t>Risk Factors-Risks Related to Our Operations in China</w:t>
      </w:r>
      <w:r>
        <w:rPr>
          <w:rFonts w:ascii="Times New Roman" w:hAnsi="Times New Roman"/>
          <w:sz w:val="20"/>
        </w:rPr>
        <w:t xml:space="preserve">” in the Annual Report,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As a Cayman Islands holding company, we may rely to a significant extent on cash transfers from our PRC Subsidiaries. Cash transfers from our PRC Subsidiaries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 border capital flows. Shortages in the availability of foreign currency may temporarily delay the ability of our PRC Subsidiaries to make transfers or other payments to us, or otherwise satisfy their foreign currency denominated obligations. We are also subject to various restrictions on foreign exchange control under current PRC laws and regulations and could be subject to additional restrictions under new PRC laws and regulations that may come into effect in the future.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As of the date of this prospectus, neither we nor any of its subsidiaries have made any dividends or distributions to their respective parent companies or to any investor, and the only transfers of cash among us and our subsidiaries have been from us to our subsidiaries for investments in our subsidiaries and for our subsidiaries’ working capital needs. As of December 31, 2025, we have transferred an aggregate of approximately $187.1 million through regular commercial banks via wire transfer in cash to Apollomics US as a capital injection, cash advanced for working capital purposes and payments for services fees, an aggregate of approximately $13.1 million in cash to Apollomics AU as a capital injection, an aggregate of approximately $18.6 million in cash to Apollomics HK as a capital injection and cash advanced for working capital purposes, and an aggregate of approximately $35.0 million ($10.5 million of which was transferred directly and $24.5 million of which was transferred through Apollomics HK) to our PRC subsidiaries in cash as capital injections. Additionally, as of December 31, 2025, there was a capital reduction in our PRC Subsidiaries resulting in approximately $15 million in cash transferred from our PRC Subsidiaries to us. Other than the above transfers, there have been no transfers of any type of assets among us and our subsidiaries. See Apollomics’ historical consolidated financial statements included the Company’s SEC filings, which are incorporated herein by reference. Any determination to pay dividends will be at the discretion of our board of directors. Currently, we do not anticipate that we would distribute earnings even after we become profitable and generate cash flows from operations. We do not currently have any cash management policy that dictates how funds must be transferred between us and our subsidiaries, or among its subsidiaries. If needed, we may transfer funds to our subsidiaries, including the PRC subsidiaries, by way of capital contributions or loans in accordance with the charter of the relevant subsidiaries and in compliance with applicable local laws and regulations. As an offshore holding company, we may use the proceeds of our offshore fund-raising activities to provide loans or make capital contributions to our subsidiaries, in each case subject to the satisfaction of government reporting, registration and approvals. Loans by us to our PRC subsidiaries to finance their activities cannot exceed statutory limits and must be registered with the local counterpart of the State Administration of Foreign Exchange (“</w:t>
      </w:r>
      <w:r>
        <w:rPr>
          <w:rFonts w:ascii="Times New Roman" w:hAnsi="Times New Roman"/>
          <w:b/>
          <w:i/>
          <w:sz w:val="20"/>
        </w:rPr>
        <w:t>SAFE</w:t>
      </w:r>
      <w:r>
        <w:rPr>
          <w:rFonts w:ascii="Times New Roman" w:hAnsi="Times New Roman"/>
          <w:sz w:val="20"/>
        </w:rPr>
        <w:t xml:space="preserve">”) and capital contributions to its subsidiaries in China and Hong Kong are subject to the requirement of making necessary registration with competent governmental authorities in China and Hong Kong, respectively. See “Risk Factors-Risks Related to Our Operations in China” in the Annual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toc55980_6">
        <w:r>
          <w:rPr>
            <w:rStyle w:val="InternetLink"/>
            <w:rFonts w:ascii="Times New Roman" w:hAnsi="Times New Roman"/>
            <w:b/>
            <w:sz w:val="24"/>
          </w:rPr>
          <w:t>Risk Factors</w:t>
        </w:r>
      </w:hyperlink>
      <w:r>
        <w:rPr>
          <w:rFonts w:ascii="Times New Roman" w:hAnsi="Times New Roman"/>
          <w:b/>
          <w:sz w:val="24"/>
        </w:rPr>
        <w:t xml:space="preserve">” beginning on page 13 of this prospectus and other risk factors contained in the documents incorporated by reference herein, including our Annual Report on Form 20-F for the year ended December 31, 2025, for a discussion of information that should be considered in connection with an investment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the securities commission of any U.S. state nor any other regulatory body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15,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56"/>
        <w:gridCol w:w="153"/>
        <w:gridCol w:w="60"/>
        <w:gridCol w:w="373"/>
        <w:gridCol w:w="63"/>
      </w:tblGrid>
      <w:tr>
        <w:trPr/>
        <w:tc>
          <w:tcPr>
            <w:tcW w:w="9556"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56" w:type="dxa"/>
            <w:tcBorders/>
            <w:vAlign w:val="bottom"/>
          </w:tcPr>
          <w:p>
            <w:pPr>
              <w:pStyle w:val="TableContents"/>
              <w:bidi w:val="0"/>
              <w:spacing w:before="0" w:after="0"/>
              <w:jc w:val="left"/>
              <w:rPr/>
            </w:pPr>
            <w:hyperlink w:anchor="toc55980_1">
              <w:r>
                <w:rPr>
                  <w:rStyle w:val="InternetLink"/>
                  <w:rFonts w:ascii="Times New Roman" w:hAnsi="Times New Roman"/>
                  <w:sz w:val="20"/>
                </w:rPr>
                <w:t>ABOUT THIS PROSPECTUS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2">
              <w:r>
                <w:rPr>
                  <w:rStyle w:val="InternetLink"/>
                  <w:rFonts w:ascii="Times New Roman" w:hAnsi="Times New Roman"/>
                  <w:sz w:val="20"/>
                </w:rPr>
                <w:t>WHERE YOU CAN FIND MORE INFORMATION; INCORPORATION OF INFORMATION BY REFERENCE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3">
              <w:r>
                <w:rPr>
                  <w:rStyle w:val="InternetLink"/>
                  <w:rFonts w:ascii="Times New Roman" w:hAnsi="Times New Roman"/>
                  <w:sz w:val="20"/>
                </w:rPr>
                <w:t>CAUTIONARY STATEMENT REGARDING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4">
              <w:r>
                <w:rPr>
                  <w:rStyle w:val="InternetLink"/>
                  <w:rFonts w:ascii="Times New Roman" w:hAnsi="Times New Roman"/>
                  <w:sz w:val="20"/>
                </w:rPr>
                <w:t>PROSPECTUS 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5">
              <w:r>
                <w:rPr>
                  <w:rStyle w:val="InternetLink"/>
                  <w:rFonts w:ascii="Times New Roman" w:hAnsi="Times New Roman"/>
                  <w:sz w:val="20"/>
                </w:rPr>
                <w:t>THE OFFERING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6">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7">
              <w:r>
                <w:rPr>
                  <w:rStyle w:val="InternetLink"/>
                  <w:rFonts w:ascii="Times New Roman" w:hAnsi="Times New Roman"/>
                  <w:sz w:val="20"/>
                </w:rPr>
                <w:t>CAPITALIZATION AND INDEBTEDNESS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8">
              <w:r>
                <w:rPr>
                  <w:rStyle w:val="InternetLink"/>
                  <w:rFonts w:ascii="Times New Roman" w:hAnsi="Times New Roman"/>
                  <w:sz w:val="20"/>
                </w:rPr>
                <w:t>USE OF PROCEEDS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9">
              <w:r>
                <w:rPr>
                  <w:rStyle w:val="InternetLink"/>
                  <w:rFonts w:ascii="Times New Roman" w:hAnsi="Times New Roman"/>
                  <w:sz w:val="20"/>
                </w:rPr>
                <w:t>DIVIDEND POLICY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10">
              <w:r>
                <w:rPr>
                  <w:rStyle w:val="InternetLink"/>
                  <w:rFonts w:ascii="Times New Roman" w:hAnsi="Times New Roman"/>
                  <w:sz w:val="20"/>
                </w:rPr>
                <w:t>DESCRIPTION OF SECURITIES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10a">
              <w:r>
                <w:rPr>
                  <w:rStyle w:val="InternetLink"/>
                  <w:rFonts w:ascii="Times New Roman" w:hAnsi="Times New Roman"/>
                  <w:sz w:val="20"/>
                </w:rPr>
                <w:t>CAPITALIZATION HISTORY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11">
              <w:r>
                <w:rPr>
                  <w:rStyle w:val="InternetLink"/>
                  <w:rFonts w:ascii="Times New Roman" w:hAnsi="Times New Roman"/>
                  <w:sz w:val="20"/>
                </w:rPr>
                <w:t>SELLING SECURITYHOLDERS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12">
              <w:r>
                <w:rPr>
                  <w:rStyle w:val="InternetLink"/>
                  <w:rFonts w:ascii="Times New Roman" w:hAnsi="Times New Roman"/>
                  <w:sz w:val="20"/>
                </w:rPr>
                <w:t>PLAN OF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13">
              <w:r>
                <w:rPr>
                  <w:rStyle w:val="InternetLink"/>
                  <w:rFonts w:ascii="Times New Roman" w:hAnsi="Times New Roman"/>
                  <w:sz w:val="20"/>
                </w:rPr>
                <w:t>TAXATION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14">
              <w:r>
                <w:rPr>
                  <w:rStyle w:val="InternetLink"/>
                  <w:rFonts w:ascii="Times New Roman" w:hAnsi="Times New Roman"/>
                  <w:sz w:val="20"/>
                </w:rPr>
                <w:t>MATERIAL CAYMAN ISLANDS TAX CONSIDERATIONS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15">
              <w:r>
                <w:rPr>
                  <w:rStyle w:val="InternetLink"/>
                  <w:rFonts w:ascii="Times New Roman" w:hAnsi="Times New Roman"/>
                  <w:sz w:val="20"/>
                </w:rPr>
                <w:t>LEGAL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16">
              <w:r>
                <w:rPr>
                  <w:rStyle w:val="InternetLink"/>
                  <w:rFonts w:ascii="Times New Roman" w:hAnsi="Times New Roman"/>
                  <w:sz w:val="20"/>
                </w:rPr>
                <w:t>EXPERTS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17">
              <w:r>
                <w:rPr>
                  <w:rStyle w:val="InternetLink"/>
                  <w:rFonts w:ascii="Times New Roman" w:hAnsi="Times New Roman"/>
                  <w:sz w:val="20"/>
                </w:rPr>
                <w:t>ENFORCEABILITY OF CIVIL LIABILITIES UNDER U.S. SECURITIES LAWS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18">
              <w:r>
                <w:rPr>
                  <w:rStyle w:val="InternetLink"/>
                  <w:rFonts w:ascii="Times New Roman" w:hAnsi="Times New Roman"/>
                  <w:sz w:val="20"/>
                </w:rPr>
                <w:t>AUTHORIZED REPRESENTATIVE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19">
              <w:r>
                <w:rPr>
                  <w:rStyle w:val="InternetLink"/>
                  <w:rFonts w:ascii="Times New Roman" w:hAnsi="Times New Roman"/>
                  <w:sz w:val="20"/>
                </w:rPr>
                <w:t>SIGNATURES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II-5</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55980_20">
              <w:r>
                <w:rPr>
                  <w:rStyle w:val="InternetLink"/>
                  <w:rFonts w:ascii="Times New Roman" w:hAnsi="Times New Roman"/>
                  <w:sz w:val="20"/>
                </w:rPr>
                <w:t>POWER OF ATTORNEY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II-5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or any supplement. Neither we nor the Selling Securityholders have authorized anyone else to provide you with different information. The securities offered by this prospectus are being offered only in jurisdictions where the offer is permitted. You should not assume that the information in this prospectus or any supplement is accurate as of any date other than the date on the front of each document.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55980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filed with the U.S. Securities and Exchange Commission (the “</w:t>
      </w:r>
      <w:r>
        <w:rPr>
          <w:rFonts w:ascii="Times New Roman" w:hAnsi="Times New Roman"/>
          <w:b/>
          <w:i/>
          <w:sz w:val="20"/>
        </w:rPr>
        <w:t>SEC</w:t>
      </w:r>
      <w:r>
        <w:rPr>
          <w:rFonts w:ascii="Times New Roman" w:hAnsi="Times New Roman"/>
          <w:sz w:val="20"/>
        </w:rPr>
        <w:t xml:space="preserve">”) utilizing a “shelf” registration process. By using a shelf registration statement, the Selling Securityholders may offer for resale up to 279,775 Class A Ordinary Shares as described in this prospectus. </w:t>
      </w:r>
    </w:p>
    <w:p>
      <w:pPr>
        <w:pStyle w:val="TextBody"/>
        <w:bidi w:val="0"/>
        <w:spacing w:before="240" w:after="0"/>
        <w:jc w:val="left"/>
        <w:rPr>
          <w:rFonts w:ascii="Times New Roman" w:hAnsi="Times New Roman"/>
          <w:sz w:val="20"/>
        </w:rPr>
      </w:pPr>
      <w:r>
        <w:rPr>
          <w:rFonts w:ascii="Times New Roman" w:hAnsi="Times New Roman"/>
          <w:sz w:val="20"/>
        </w:rPr>
        <w:t>We have not, and the Selling Securityholders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w:t>
      </w:r>
      <w:r>
        <w:rPr>
          <w:rFonts w:ascii="Times New Roman" w:hAnsi="Times New Roman"/>
          <w:i/>
          <w:sz w:val="20"/>
        </w:rPr>
        <w:t>Risk Factors</w:t>
      </w:r>
      <w:r>
        <w:rPr>
          <w:rFonts w:ascii="Times New Roman" w:hAnsi="Times New Roman"/>
          <w:sz w:val="20"/>
        </w:rPr>
        <w:t xml:space="preserve">”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The Selling Securityholders may offer and sell the securities directly to purchasers, through agents selected by us and/or the Selling Securityholders, or to or through underwriters or dealers. A prospectus supplement, if required, may describe the terms of the plan of distribution and set forth the names of any agents, underwriters or dealers involved in the sale of securities.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55980_2"/>
      <w:bookmarkEnd w:id="4"/>
      <w:r>
        <w:rPr>
          <w:rFonts w:ascii="Times New Roman" w:hAnsi="Times New Roman"/>
          <w:b/>
          <w:sz w:val="20"/>
        </w:rPr>
        <w:t xml:space="preserve">WHERE YOU CAN FIND MORE INFORMATION; INCORPORATION OF INFORMATION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informational requirements of the Exchange Act applicable to foreign private issuers.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Class A Ordinary Shares, and our principal shareholders. In addition, we are not required under the Exchange Act to file periodic reports and financial statements with the SEC as frequently or as promptly as U.S. companies whose securities are registered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t>
      </w:r>
      <w:r>
        <w:rPr>
          <w:rFonts w:ascii="Times New Roman" w:hAnsi="Times New Roman"/>
          <w:i/>
          <w:sz w:val="20"/>
        </w:rPr>
        <w:t>www.apollomicsinc.com</w:t>
      </w:r>
      <w:r>
        <w:rPr>
          <w:rFonts w:ascii="Times New Roman" w:hAnsi="Times New Roman"/>
          <w:sz w:val="20"/>
        </w:rPr>
        <w:t xml:space="preserve">. The information on our web 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Company’s Annual Report on </w:t>
            </w:r>
            <w:hyperlink r:id="rId3">
              <w:r>
                <w:rPr>
                  <w:rStyle w:val="InternetLink"/>
                  <w:rFonts w:ascii="Times New Roman" w:hAnsi="Times New Roman"/>
                  <w:sz w:val="20"/>
                </w:rPr>
                <w:t>Form 20-F</w:t>
              </w:r>
            </w:hyperlink>
            <w:r>
              <w:rPr>
                <w:rFonts w:ascii="Times New Roman" w:hAnsi="Times New Roman"/>
                <w:sz w:val="20"/>
              </w:rPr>
              <w:t xml:space="preserve"> filed on April 24, 2026 (File No. 001-41670) (the “</w:t>
            </w:r>
            <w:r>
              <w:rPr>
                <w:rFonts w:ascii="Times New Roman" w:hAnsi="Times New Roman"/>
                <w:b/>
                <w:i/>
                <w:sz w:val="20"/>
              </w:rPr>
              <w:t>Annual Report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the Company’s Ordinary Shares, as contained in </w:t>
            </w:r>
            <w:hyperlink r:id="rId4">
              <w:r>
                <w:rPr>
                  <w:rStyle w:val="InternetLink"/>
                  <w:rFonts w:ascii="Times New Roman" w:hAnsi="Times New Roman"/>
                  <w:sz w:val="20"/>
                </w:rPr>
                <w:t>Exhibit 2.1</w:t>
              </w:r>
            </w:hyperlink>
            <w:r>
              <w:rPr>
                <w:rFonts w:ascii="Times New Roman" w:hAnsi="Times New Roman"/>
                <w:sz w:val="20"/>
              </w:rPr>
              <w:t xml:space="preserve"> to the Annual Report, and any other amendment or report filed for the purpose of updating such description.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including any reports on Form 6-K that we specifically identify in such forms as being incorporated by reference,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and providing your valid and current address and email address: </w:t>
      </w:r>
    </w:p>
    <w:p>
      <w:pPr>
        <w:pStyle w:val="TextBody"/>
        <w:bidi w:val="0"/>
        <w:spacing w:before="240" w:after="0"/>
        <w:jc w:val="left"/>
        <w:rPr>
          <w:rFonts w:ascii="Times New Roman" w:hAnsi="Times New Roman"/>
          <w:sz w:val="20"/>
        </w:rPr>
      </w:pPr>
      <w:r>
        <w:rPr>
          <w:rFonts w:ascii="Times New Roman" w:hAnsi="Times New Roman"/>
          <w:sz w:val="20"/>
        </w:rPr>
        <w:t xml:space="preserve">Apollomics Inc. </w:t>
      </w:r>
    </w:p>
    <w:p>
      <w:pPr>
        <w:pStyle w:val="TextBody"/>
        <w:bidi w:val="0"/>
        <w:spacing w:before="0" w:after="0"/>
        <w:jc w:val="left"/>
        <w:rPr>
          <w:rFonts w:ascii="Times New Roman" w:hAnsi="Times New Roman"/>
          <w:sz w:val="20"/>
        </w:rPr>
      </w:pPr>
      <w:r>
        <w:rPr>
          <w:rFonts w:ascii="Times New Roman" w:hAnsi="Times New Roman"/>
          <w:sz w:val="20"/>
        </w:rPr>
        <w:t xml:space="preserve">989 E. Hillsdale Blvd., Suite 220 </w:t>
      </w:r>
    </w:p>
    <w:p>
      <w:pPr>
        <w:pStyle w:val="TextBody"/>
        <w:bidi w:val="0"/>
        <w:spacing w:before="0" w:after="0"/>
        <w:jc w:val="left"/>
        <w:rPr>
          <w:rFonts w:ascii="Times New Roman" w:hAnsi="Times New Roman"/>
          <w:sz w:val="20"/>
        </w:rPr>
      </w:pPr>
      <w:r>
        <w:rPr>
          <w:rFonts w:ascii="Times New Roman" w:hAnsi="Times New Roman"/>
          <w:sz w:val="20"/>
        </w:rPr>
        <w:t xml:space="preserve">Foster City, CA 94404 </w:t>
      </w:r>
    </w:p>
    <w:p>
      <w:pPr>
        <w:pStyle w:val="TextBody"/>
        <w:bidi w:val="0"/>
        <w:spacing w:before="0" w:after="0"/>
        <w:jc w:val="left"/>
        <w:rPr>
          <w:rFonts w:ascii="Times New Roman" w:hAnsi="Times New Roman"/>
          <w:sz w:val="20"/>
        </w:rPr>
      </w:pPr>
      <w:r>
        <w:rPr>
          <w:rFonts w:ascii="Times New Roman" w:hAnsi="Times New Roman"/>
          <w:sz w:val="20"/>
        </w:rPr>
        <w:t xml:space="preserve">Attention: Hung-Wen (Howard) Chen,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55980_3"/>
      <w:bookmarkEnd w:id="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Some of the statements made in this prospectus and the documents incorporated by reference into this prospectus may constitute forward-looking statements within the meaning of the United States federal securities laws. Forward-looking statements provide our current expectations or forecasts of future events. Forward-looking statements include statements about our expectations, beliefs, plans, goals, objectives, intentions, assumptions and other statements that are not historical facts.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our expectations, hopes, beliefs, intentions or strategies regarding the future including, without limitation, statements regarding: plans for preclinical studies, clinical trials and research and development programs; the anticipated timing of the results from those studies and trials; expectations regarding regulatory approvals, and our expectations with respect to future performance. Forward-looking statements are based on current expectations and assumptions that, while considered reasonable by us and our management, as the case may be, are inherently uncertain. These statements are based on various assumptions, whether or not identified herein,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 The forward-looking statements contained herein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Factors relating to our business, operations and financial performance, including, but not limited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successful clinical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regulatory approval for our products, and any related restrictions or limitations of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the success of vebreltinib, our most advanced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licensing of third-party intellectual property rights for future discovery and development of Apollomics’ oncology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product candidates and achieve market acceptance of such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is dependent on certain drug candidates for which we have licenses from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respond to general 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incurred significant losses since inception, and expect to incur significant losses for the foreseeable future and may not be able to achieve or sustain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require substantial additional capital to finance our operations, and if unable to raise such capital when needed or on acceptable terms, we may be forced to delay, reduce, and/or eliminate one or more of our development programs;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maintain effective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the Apollomics Class A Ordinary Shares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global, regional or local business, market, financial, political and legal conditions, including the development, effects and enforcement of laws and regulations and the impact of any current or new government regulations in the United States and China affecting our operations and the continued listing of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retaining or recruiting, or changes required in, officers, key employees or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Assumptions regarding interest rates and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and competitive pressures from other companies worldwide in the industries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adequately protect our intellectual property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matters described in the section entitled “Risk Factors” beginning on page 13 of this prospectus, in the Annual Report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w:t>
            </w:r>
          </w:p>
        </w:tc>
      </w:tr>
    </w:tbl>
    <w:p>
      <w:pPr>
        <w:pStyle w:val="TextBody"/>
        <w:bidi w:val="0"/>
        <w:spacing w:before="240" w:after="0"/>
        <w:jc w:val="left"/>
        <w:rPr>
          <w:rFonts w:ascii="Times New Roman" w:hAnsi="Times New Roman"/>
          <w:sz w:val="20"/>
        </w:rPr>
      </w:pPr>
      <w:r>
        <w:rPr>
          <w:rFonts w:ascii="Times New Roman" w:hAnsi="Times New Roman"/>
          <w:sz w:val="20"/>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described in “</w:t>
      </w:r>
      <w:r>
        <w:rPr>
          <w:rFonts w:ascii="Times New Roman" w:hAnsi="Times New Roman"/>
          <w:i/>
          <w:sz w:val="20"/>
        </w:rPr>
        <w:t>Risk Factors</w:t>
      </w:r>
      <w:r>
        <w:rPr>
          <w:rFonts w:ascii="Times New Roman" w:hAnsi="Times New Roman"/>
          <w:sz w:val="20"/>
        </w:rPr>
        <w:t>” in this prospectus as well as those listed under “</w:t>
      </w:r>
      <w:r>
        <w:rPr>
          <w:rFonts w:ascii="Times New Roman" w:hAnsi="Times New Roman"/>
          <w:i/>
          <w:sz w:val="20"/>
        </w:rPr>
        <w:t>Item 3. Key Information – Risk Factors</w:t>
      </w:r>
      <w:r>
        <w:rPr>
          <w:rFonts w:ascii="Times New Roman" w:hAnsi="Times New Roman"/>
          <w:sz w:val="20"/>
        </w:rPr>
        <w:t xml:space="preserve">” in the Annual Report.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we will file from time to time with the SEC after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you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the expectations reflected in the forward-looking statements were reasonable at the time made, it cannot guarantee future results, level of activity, performance or achievements. Moreover, neither we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prospectus and any subsequent written or oral forward-looking statements that may be issued by us or persons acting on our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oc55980_4"/>
      <w:bookmarkEnd w:id="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 Incorporation of Information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discovering and developing oncology therapies to address unmet medical needs, especially for difficult-to-treat and treatment-resistant cancers. Since our founding in 2015, we have built a pipeline focused on oncology, of which three product candidates remain in active clinical stage development. Our leading product candidate, vebreltinib, has shown initial promising clinical results.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strategic focus is the development of novel therapies targeting difficult to treat cancers. We use both targeted, immuno-oncology, and other innovative approaches to address a range of cancer indications, such as lung cancer, brain cancer, and other solid tumors. Our pipeline includes a variety of cancer treatment programs that utilize tumor inhibitors, cell adhesion inhibitors, immune checkpoint inhibitors, a cancer vaccine, monotherapies, combination therapies or a multi-functional protein with the goals to improve response rates and reduce chemo-resistance and toxicity compared to the current treatment standards. We have adopted a biomarker-driven diagnostic approach for patient screening to increase precision in identifying patients that can potentially benefit from target 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product candidates in our pipeline can be categorized into two groups based on their mechanisms of action, each of which contains product candidates at different stages of development: (i) tumor inhibitors and (ii) immuno-oncology drugs. We believe that having two groups of product candidates with different mechanisms of action will enable us to develop potential synergistic therapies that address unmet needs in cancer treatment.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most advanced product candidate is vebreltinib, a potent, orally active, and highly selective c-Met inhibitor. Cancer cells often use c-Met activation to escape therapies targeting other signaling pathways. Capmatinib and tepotinib, two c-Met inhibitors, were approved by the U.S. Food and Drug Administration (the “</w:t>
      </w:r>
      <w:r>
        <w:rPr>
          <w:rFonts w:ascii="Times New Roman" w:hAnsi="Times New Roman"/>
          <w:b/>
          <w:i/>
          <w:sz w:val="20"/>
          <w:bdr w:val="single" w:sz="8" w:space="1" w:color="000000"/>
        </w:rPr>
        <w:t>FDA</w:t>
      </w:r>
      <w:r>
        <w:rPr>
          <w:rFonts w:ascii="Times New Roman" w:hAnsi="Times New Roman"/>
          <w:sz w:val="20"/>
          <w:bdr w:val="single" w:sz="8" w:space="1" w:color="000000"/>
        </w:rPr>
        <w:t>”) for the treatment of metastatic non-small cell lung cancer (“</w:t>
      </w:r>
      <w:r>
        <w:rPr>
          <w:rFonts w:ascii="Times New Roman" w:hAnsi="Times New Roman"/>
          <w:b/>
          <w:i/>
          <w:sz w:val="20"/>
          <w:bdr w:val="single" w:sz="8" w:space="1" w:color="000000"/>
        </w:rPr>
        <w:t>NSCLC</w:t>
      </w:r>
      <w:r>
        <w:rPr>
          <w:rFonts w:ascii="Times New Roman" w:hAnsi="Times New Roman"/>
          <w:sz w:val="20"/>
          <w:bdr w:val="single" w:sz="8" w:space="1" w:color="000000"/>
        </w:rPr>
        <w:t>”) with Met Exon 14 skipping in 2020 and 2021 under accelerated approval, respectively, followed by traditional approvals in 2022 and 2024, rendering Met Exon 14 skipping a clinically validated target. Avistone, our partner in China, received approval from China’s National Medical Product Administration (“</w:t>
      </w:r>
      <w:r>
        <w:rPr>
          <w:rFonts w:ascii="Times New Roman" w:hAnsi="Times New Roman"/>
          <w:b/>
          <w:i/>
          <w:sz w:val="20"/>
          <w:bdr w:val="single" w:sz="8" w:space="1" w:color="000000"/>
        </w:rPr>
        <w:t>NMPA</w:t>
      </w:r>
      <w:r>
        <w:rPr>
          <w:rFonts w:ascii="Times New Roman" w:hAnsi="Times New Roman"/>
          <w:sz w:val="20"/>
          <w:bdr w:val="single" w:sz="8" w:space="1" w:color="000000"/>
        </w:rPr>
        <w:t>”) for vebreltinib in November 2023 for the same indication. We believe that the potential of vebreltinib in cancers with genetic mutations, amplification or fusion of the c-Met gene presents a significant opportunity. We are investigating vebreltinib in clinical trials as a single agent for the potential treatment of NSCLC and other advanced tumors with c-Met alterations, and also as a combination therapy with epidermal growth factor receptor (“</w:t>
      </w:r>
      <w:r>
        <w:rPr>
          <w:rFonts w:ascii="Times New Roman" w:hAnsi="Times New Roman"/>
          <w:b/>
          <w:i/>
          <w:sz w:val="20"/>
          <w:bdr w:val="single" w:sz="8" w:space="1" w:color="000000"/>
        </w:rPr>
        <w:t>EGFR</w:t>
      </w:r>
      <w:r>
        <w:rPr>
          <w:rFonts w:ascii="Times New Roman" w:hAnsi="Times New Roman"/>
          <w:sz w:val="20"/>
          <w:bdr w:val="single" w:sz="8" w:space="1" w:color="000000"/>
        </w:rPr>
        <w:t xml:space="preserve">”) inhibitors. We have obtained orphan drug designation for vebreltinib for the “treatment of non-small cell lung cancer with MET genomic tumor aberrations,” which includes Met Exon 14 skipping and c-Met amplification. Our primary focus for the future development of vebreltinib will be for the treatment of NSCLC with c-Met Amplification. We intend to continue to explore the opportunity for combining vebreltinib with other approved drugs or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Prior to commercialization of our product candidates in the United States, we must successfully complete nonclinical laboratory and animal tests and submitted an investigational new drug application (“</w:t>
      </w:r>
      <w:r>
        <w:rPr>
          <w:rFonts w:ascii="Times New Roman" w:hAnsi="Times New Roman"/>
          <w:b/>
          <w:i/>
          <w:sz w:val="20"/>
          <w:bdr w:val="single" w:sz="8" w:space="1" w:color="000000"/>
        </w:rPr>
        <w:t>IND</w:t>
      </w:r>
      <w:r>
        <w:rPr>
          <w:rFonts w:ascii="Times New Roman" w:hAnsi="Times New Roman"/>
          <w:sz w:val="20"/>
          <w:bdr w:val="single" w:sz="8" w:space="1" w:color="000000"/>
        </w:rPr>
        <w:t>”) to FDA, which must become effective before clinical testing may commence in the United States. Adequate and well-controlled clinical trials must establish the safety and effectiveness of each product candidate for each indication for which FDA approval is sought. After completion of the required clinical testing, a New Drug Application (“</w:t>
      </w:r>
      <w:r>
        <w:rPr>
          <w:rFonts w:ascii="Times New Roman" w:hAnsi="Times New Roman"/>
          <w:b/>
          <w:i/>
          <w:sz w:val="20"/>
          <w:bdr w:val="single" w:sz="8" w:space="1" w:color="000000"/>
        </w:rPr>
        <w:t>NDA</w:t>
      </w:r>
      <w:r>
        <w:rPr>
          <w:rFonts w:ascii="Times New Roman" w:hAnsi="Times New Roman"/>
          <w:sz w:val="20"/>
          <w:bdr w:val="single" w:sz="8" w:space="1" w:color="000000"/>
        </w:rPr>
        <w:t>”) or Biologics License Application (“</w:t>
      </w:r>
      <w:r>
        <w:rPr>
          <w:rFonts w:ascii="Times New Roman" w:hAnsi="Times New Roman"/>
          <w:b/>
          <w:i/>
          <w:sz w:val="20"/>
          <w:bdr w:val="single" w:sz="8" w:space="1" w:color="000000"/>
        </w:rPr>
        <w:t>BLA</w:t>
      </w:r>
      <w:r>
        <w:rPr>
          <w:rFonts w:ascii="Times New Roman" w:hAnsi="Times New Roman"/>
          <w:sz w:val="20"/>
          <w:bdr w:val="single" w:sz="8" w:space="1" w:color="000000"/>
        </w:rPr>
        <w:t xml:space="preserve">”) is prepared and submitted to the FDA. The NDA or BLA must include the results of all nonclinical, clinical and other testing and a compilation of data relating to the product’s pharmacology, chemistry, manufacture and controls. FDA approval of the NDA or BLA is required before marketing and distribution of the product may begin in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executive offices are located at 989 E. Hillsdale Boulevard, Suite 220, Foster City, California 94404, and our corporate telephone number is (650) 209-4055.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holding company incorporated in the Cayman Islands with our headquarters in the United States. We conduct our operations through Apollomics US, our headquarters based in California, U.S., as well as Crownmab, one of our wholly-owned subsidiaries in the PRC. Investments in our securities are not purchases of equity securities of these operating subsidiaries in the United States or PRC but instead are purchases of equity securities of a Cayman Islands holding company with no material operations of its own.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Structure of Apollomics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diagram below depicts a simplified version of the organizational structure of Apollomics.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692650" cy="1920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4692650" cy="192087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Apollomics US and Crownmab conduct research and development activities relating to the biologics of oncology to facilitate the discovery and development of product candidates and expand our global presence. Apollomics HK is an intermediary holding company holding Crownmab and Crown Bochuang (via Crownmab), and Apollomics HK has not engaged in any business operations since its establishment. Apollomics AU holds certain intellectual property rights and has engaged vendors for our clinical trial-related activities in Australia, but it does not have any other business operations, employees or office space. Crown Bochuang, a wholly-owned subsidiary of Apollomics and a direct subsidiary of Crownmab in the PRC, has been a contracting party for certain engagements of which the business activities are conducted by Crownmab. Crown Bochuang has not engaged in any operational activities and does not have any employees or office space.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Holding Company Structure and PRC Regulatory Matters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holding company incorporated in the Cayman Islands with our headquarters in the United States. We conduct our operations through Apollomics US, our headquarters based in California, U.S., as well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Crownmab, one of our wholly subsidiaries in the PRC. Investments in our securities are not purchases of equity securities of these operating subsidiaries in the United States or PRC but instead are purchases of equity securities of a Cayman Islands holding company with no material operations of its own. Unlike some other companies with operating subsidiaries in China, our corporate structure does not contain any variable interest entities (“</w:t>
      </w:r>
      <w:r>
        <w:rPr>
          <w:rFonts w:ascii="Times New Roman" w:hAnsi="Times New Roman"/>
          <w:b/>
          <w:i/>
          <w:sz w:val="20"/>
          <w:bdr w:val="single" w:sz="8" w:space="1" w:color="000000"/>
        </w:rPr>
        <w:t>VIEs</w:t>
      </w:r>
      <w:r>
        <w:rPr>
          <w:rFonts w:ascii="Times New Roman" w:hAnsi="Times New Roman"/>
          <w:sz w:val="20"/>
          <w:bdr w:val="single" w:sz="8" w:space="1" w:color="000000"/>
        </w:rPr>
        <w:t xml:space="preserve">”), and we have no intention of establishing or utilizing any VIEs in China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we conduct a portion of our operations in the Greater China region, and we and our PRC Subsidiaries are subject to PRC laws relating to, among others, restrictions over foreign investments and data security. The PRC government has been seeking to exert more control and impose more restrictions on companies based in China that raise capital offshore and such efforts may continue or intensify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rely to a significant extent on cash transfers from our PRC Subsidiaries. Cash transfers from our PRC Subsidiaries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cross-border capital flows. Shortages in the availability of foreign currency may temporarily delay the ability of our PRC Subsidiaries to make transfers or other payments to us, or otherwise satisfy their foreign currency denominated obligations. We are also subject to various restrictions on foreign exchange control under current PRC laws and regulations and could be subject to additional restrictions under new PRC laws and regulations that may come into effect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example, our PRC Subsidiaries may pay dividends only out of their accumulated after-tax profits upon satisfaction of relevant statutory conditions and procedures, if any, determined in accordance with PRC accounting standards and regulations; each of the PRC Subsidiaries is required to set aside at least 10% of its after-tax profits each year, if any, to fund certain reserve funds until the total amount set aside reaches 50% of its registered capital; the PRC Subsidiaries are required to complete certain procedural requirements related to foreign exchange control in order to make dividend payments in foreign currencies; a withholding tax, at the rate of 10% or lower, is payable by the PRC Subsidiaries upon dividend remittance; approval from or registration with competent PRC government authorities is required where Renminbi is to be converted into foreign currency and remitted out of China to pay capital expenses, such as the repayment of loans denominated in foreign currencies; loans by us to our PRC Subsidiaries to finance their operations shall not exceed certain statutory limits and must be registered with the local counterpart of the State Administration of Foreign Exchange (the “</w:t>
      </w:r>
      <w:r>
        <w:rPr>
          <w:rFonts w:ascii="Times New Roman" w:hAnsi="Times New Roman"/>
          <w:b/>
          <w:i/>
          <w:sz w:val="20"/>
          <w:bdr w:val="single" w:sz="8" w:space="1" w:color="000000"/>
        </w:rPr>
        <w:t>SAFE</w:t>
      </w:r>
      <w:r>
        <w:rPr>
          <w:rFonts w:ascii="Times New Roman" w:hAnsi="Times New Roman"/>
          <w:sz w:val="20"/>
          <w:bdr w:val="single" w:sz="8" w:space="1" w:color="000000"/>
        </w:rPr>
        <w:t xml:space="preserve">”); and any capital contribution from us to our PRC Subsidiaries is required to be registered with the competent PRC government authorities.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prospectus, neither we nor our subsidiaries have made any dividends or distributions to their respective parent companies or to any investor, and the only transfers of cash among us and our subsidiaries have been from us to our subsidiaries for investments in our subsidiaries and for our subsidiaries’ working capital needs. As of December 31, 2025, we have transferred an aggregate of approximately $187.1 million through regular commercial banks via wire transfer in cash to Apollomics US as a capital injection, cash advanced for working capital purposes and payments for services fees, an aggregate of approximately $13.1 million in cash to Apollomics AU as a capital injection, an aggregate of approximately $18.6 million to Apollomics HK in cash as a capital injection and cash advanced for working capital purposes, and an aggregate of approximately $35.0 million ($10.5 million of which was transferred directly and $24.5 million of which was transferred through Apollomics HK) to its PRC subsidiaries in cash as capital injections. Additionally, as of December 31, 2025, there was a capital reduction in our PRC Subsidiaries resulting in approximately $15 million in cash transferred from our PRC Subsidiaries to us. Other than the above transfers, there have been no transfers of any type of assets among us and our subsidiaries. If needed, we may transfer funds to our subsidiaries, including the PRC subsidiaries, by way of capital contributions or loans in accordance with the charter of the relevant subsidiaries and in compliance with applicable local laws and regulations. As an offshore holding company,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may use the proceeds of our offshore fund-raising activities to provide loans or make capital contributions to our subsidiaries, in each case subject to the satisfaction of government reporting, registration and approvals.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Loans by Apollomics to our PRC subsidiaries to finance their activities cannot exceed statutory limits and must be registered with the local counterpart of SAFE and capital contributions to its subsidiaries in China and Hong Kong are subject to the requirement of making necessary registration with competent governmental authorities in China and Hong Kong, respectively. Any determination to pay dividends will be at the discretion of our board of directors. Currently, we do not anticipate that we would distribute earnings even after we become profitable and generates cash flows from operations. If we intend to distribute dividends from our PRC Subsidiaries in the future, such subsidiaries will transfer the dividends to Apollomics HK, the intermediary holding company which controls all of Apollomics’ subsidiaries in the PRC, in accordance with PRC laws and regulations, and then Apollomics HK will transfer the dividends all the way up to us, and the dividends will be distributed from us to all shareholders respectively in proportion to the shares they hold, regardless of whether the shareholders are U.S. investors or investors in other countries or regions. The cross-border transfer of funds by PRC Subsidiaries under the direct holding structure must be legal and compliant with relevant PRC laws and regulations. As an offshore company, we are permitted under PRC laws and regulations to provide funding to our subsidiaries in the PRC only through loans or capital contributions, subject to applicable government reporting, registration and approvals. However, loans by us to our PRC subsidiaries to finance their activities cannot exceed statutory limits and must be registered with the local counterpart of SAFE and capital contributions to PRC subsidiaries are subject to the requirement of making necessary registration with competent governmental authorities in the PRC. We may encounter difficulties in our ability to transfer cash between our PRC subsidiaries and other subsidiaries largely due to various PRC laws and regulations imposed on foreign exchange. However, our PRC counsel, JunHe LLP, has advised that, as of the date hereof, except for the relevant statutory conditions and procedures of reserve funds, relevant withholding tax requirements and the procedures for approvals from PRC foreign exchange authorities and banks, the relevant PRC laws and regulations do not impose other limitations on the amount of funds that we can transfer out of the PRC. We do not currently have any cash management policy that dictates how funds shall be transferred between us and our subsidiaries, or among its subsidiaries.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with respect to their business operations, our PRC Subsidiaries are required to maintain various approvals, licenses and permits to operate the company in accordance with relevant PRC laws and regulations. We believe our PRC Subsidiaries are required to obtain and maintain the following approvals, licenses and permits for the operation of Apollomics: (i) business license for Zhejiang Crownmab Biotech Co., Ltd.; and (ii) business license for Zhejiang Crown Bochuang Biopharma Co., Ltd. As of the date of this prospectus, our subsidiaries have obtained and are maintaining all such requisite approvals, licenses and permits for their operations, and none of such requisite permissions or approvals have been denied.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“Risk Factors-Risks Related to Our Operations in China” in the Annual Report.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considered a “foreign private issuer” under U.S. securities law. As a “foreign private issuer,” we are subject to different U.S. securities laws than domestic U.S. issuers. The rules governing the information that we must disclose differ from those governing U.S. corporations pursuant to the Exchange Act. We are exempt from the rules under the Exchange Act prescribing the furnishing and content of proxy statements to shareholders. Those proxy statements are not expected to conform to Schedule 14A of the proxy rules promulgated under the Exchange Act. Moreover, we are not required to file periodic reports and financial statements with the SEC as frequently or within the same time frames as U.S. companies with securities registered under the Exchange Act, although it may elect to file certain periodic reports and financial statements with the SEC on a voluntary basis on the forms used by U.S. domestic issuers. We are not required to comply with Regulation FD, which imposes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restrictions on the selective disclosure of material information to shareholders. In addition, our officers, directors and principal shareholders are exempt from the reporting and short-swing profit recovery provisions of Section 16 of the Exchange Act and the rules under the Exchange Act with respect to their purchases and sales of our securities.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any securities offered pursuant to this prospectus and the applicable prospectus supplement involves risks. You should carefully consider the risk factors set forth on page 13 of this prospectus, in the Annual Report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oc55980_5"/>
      <w:bookmarkEnd w:id="7"/>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Ordinary Shares that may be offered and sold from time to time by the Selling Securityholders </w:t>
            </w:r>
          </w:p>
        </w:tc>
        <w:tc>
          <w:tcPr>
            <w:tcW w:w="6329" w:type="dxa"/>
            <w:tcBorders/>
          </w:tcPr>
          <w:p>
            <w:pPr>
              <w:pStyle w:val="TableContents"/>
              <w:bidi w:val="0"/>
              <w:spacing w:before="0" w:after="283"/>
              <w:jc w:val="left"/>
              <w:rPr/>
            </w:pPr>
            <w:r>
              <w:rPr/>
              <w:t xml:space="preserve">Up to 279,775 Class A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offering </w:t>
            </w:r>
          </w:p>
        </w:tc>
        <w:tc>
          <w:tcPr>
            <w:tcW w:w="6328" w:type="dxa"/>
            <w:tcBorders/>
          </w:tcPr>
          <w:p>
            <w:pPr>
              <w:pStyle w:val="TableContents"/>
              <w:bidi w:val="0"/>
              <w:spacing w:before="0" w:after="283"/>
              <w:jc w:val="left"/>
              <w:rPr/>
            </w:pPr>
            <w:r>
              <w:rPr/>
              <w:t>The securities offered by this prospectus may be offered and sold at prevailing market prices, privately negotiated prices or such other prices as the Selling Securityholders may determine. See “</w:t>
            </w:r>
            <w:r>
              <w:rPr>
                <w:i/>
              </w:rPr>
              <w:t>Plan of Distribution</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Ordinary Shares issued and outstanding (as of April 30, 2026) </w:t>
            </w:r>
          </w:p>
        </w:tc>
        <w:tc>
          <w:tcPr>
            <w:tcW w:w="6328" w:type="dxa"/>
            <w:tcBorders/>
          </w:tcPr>
          <w:p>
            <w:pPr>
              <w:pStyle w:val="TableContents"/>
              <w:bidi w:val="0"/>
              <w:spacing w:before="0" w:after="283"/>
              <w:jc w:val="left"/>
              <w:rPr/>
            </w:pPr>
            <w:r>
              <w:rPr/>
              <w:t xml:space="preserve">2,196,052 Class A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Voting Rights </w:t>
            </w:r>
          </w:p>
        </w:tc>
        <w:tc>
          <w:tcPr>
            <w:tcW w:w="6329" w:type="dxa"/>
            <w:tcBorders/>
          </w:tcPr>
          <w:p>
            <w:pPr>
              <w:pStyle w:val="TableContents"/>
              <w:bidi w:val="0"/>
              <w:spacing w:before="0" w:after="283"/>
              <w:jc w:val="left"/>
              <w:rPr/>
            </w:pPr>
            <w:r>
              <w:rPr/>
              <w:t>Each registered holder of our Class A Ordinary Shares is entitled to one vote for each Class A Ordinary Share of which he, she or it is the registered holder, subject to any rights and restrictions for the time being attached to any share. Unless specified in our sixth amended and restated memorandum and articles of association (the “</w:t>
            </w:r>
            <w:r>
              <w:rPr>
                <w:b/>
                <w:i/>
              </w:rPr>
              <w:t>MAA</w:t>
            </w:r>
            <w:r>
              <w:rPr/>
              <w:t xml:space="preserve">”), or as required by applicable provisions of the Cayman Companies Law or applicable stock exchange rules, an ordinary resolution, being, the affirmative vote of shareholders holding a majority of the shares which, being so entitled, are voted thereon in person or by proxy at a quorate general meeting of the company or a unanimous written resolution of all of our shareholders entitled to vote at a general meeting of the company, is required to approve any such matter voted on by our shareholders. Approval of certain actions, such as amending the MAA, reducing our share capital, registration of our company by way of continuation in a jurisdiction outside the Cayman Islands and merger or consolidation with one or more other constituent companies, requires a special resolution under Cayman Islands law and pursuant to the MAA, being the affirmative vote of shareholders holding a majority of not less than two-thirds of the shares which, being so entitled, are voted thereon in person or by proxy at a quorate general meeting of the company or a unanimous written resolution of all of our shareholders entitled to vote at a general meeting of the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of the proceeds from the sale of the Class A Ordinary Shares by the Selling Securityholders.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We have not paid any cash dividends on our Class A Ordinary Shares to date. The payment of cash dividends in the future will be dependent upon our revenues and earnings, if any, capital requirements and general financial condition. Subject to the foregoing, the payment of cash dividends in the future, if any, will be at the discretion of the board of directors of Apollomics (the “</w:t>
            </w:r>
            <w:r>
              <w:rPr>
                <w:b/>
                <w:i/>
              </w:rPr>
              <w:t>Board</w:t>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Market for our Class A Ordinary Shares and Warrants </w:t>
            </w:r>
          </w:p>
        </w:tc>
        <w:tc>
          <w:tcPr>
            <w:tcW w:w="6328" w:type="dxa"/>
            <w:tcBorders/>
          </w:tcPr>
          <w:p>
            <w:pPr>
              <w:pStyle w:val="TableContents"/>
              <w:bidi w:val="0"/>
              <w:spacing w:before="0" w:after="283"/>
              <w:jc w:val="left"/>
              <w:rPr/>
            </w:pPr>
            <w:r>
              <w:rPr/>
              <w:t xml:space="preserve">Our Class A Ordinary Shares and warrants are listed on Nasdaq under the symbols “APLM” and “APLMW,” respectively.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any securities offered pursuant to this prospectus and the applicable prospectus supplement involves risks. You should carefully consider the risk factors set forth on page 13 of this prospectus, in the Annual Report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55980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any securities offered pursuant to this prospectus and the applicable prospectus supplement involves risks. You should carefully consider the risk factors set forth below, in addition to those identified in the Annual Report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Apollomics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of a substantial number of our securities in the public market by the Selling Securityholders and/or by our existing securityholders could cause the price of our Class A Ordinary Shares and warrants to fall.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can resell under this prospectus up to 279,775 Class A Ordinary Shares constituting approximately 13.0% of our total issued and outstanding Class A Ordinary Shares. The securities being offered in this prospectus represent a substantial percentage of our issued and outstanding Class A Ordinary Shares, and the sale of such securities in the public market by the Selling Securityholders, or the perception that those sales might occur, could depress the market price of our Class A Ordinary Shares and warrants and could impair our ability to raise capital through the sale of additional equity securities. We are unable to predict the effect that such sales may have on the prevailing market price of our Class A Ordinary Shares and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U.S. Federal Income Tax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IRS may not agree that we should be treated as a non-U.S. corporation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A corporation is generally considered for U.S. federal income tax purposes to be a tax resident in the jurisdiction of its organization and incorporation. Accordingly, under generally applicable U.S. federal income tax rules, as we are incorporated under the laws of the Cayman Islands, we would be classified as a non-U.S. corporation (and, therefore, not a U.S. tax resident) for U.S. federal income tax purposes. Section 7874 of the U.S. Internal Revenue Code of 1986, as amended (the “</w:t>
      </w:r>
      <w:r>
        <w:rPr>
          <w:rFonts w:ascii="Times New Roman" w:hAnsi="Times New Roman"/>
          <w:b/>
          <w:i/>
          <w:sz w:val="20"/>
        </w:rPr>
        <w:t>Code</w:t>
      </w:r>
      <w:r>
        <w:rPr>
          <w:rFonts w:ascii="Times New Roman" w:hAnsi="Times New Roman"/>
          <w:sz w:val="20"/>
        </w:rPr>
        <w:t xml:space="preserve">”), provides an exception to this general rule, under which a non-U.S. incorporated entity may, in certain circumstances, be treated as a U.S.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expect to be treated as a U.S. corporation for U.S. federal income tax purposes under Section 7874 of the Code as a result of the Business Combination. However, the application of Section 7874 of the Code is complex, is subject to detailed rules and regulations (the application of which is uncertain in various respects, and could be impacted by changes in such rules and regulations, with possible retroactive effect). Accordingly, there can be no assurance that the IRS will not challenge our status as a foreign corporation under Section 7874 of the Code or that such challenge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If the IRS were to successfully challenge our status as a foreign corporation for U.S. federal income tax purposes under Section 7874 of the Code, we and certain of our shareholders would be subject to significant adverse tax consequences, including a higher effective corporate income tax rate on us and future withholding taxes on certain of our shareholders, depending on the application of any income tax treaty that might apply to reduce such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consult their own tax advisors regarding the potential application of Section 7874 of the Code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were characterized as a passive foreign investment company, or “PFIC,” U.S. investors may suffer adverse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If we become a PFIC for any taxable year (or portion thereof) that is included in the holding period of a U.S. Holder (as defined in “</w:t>
      </w:r>
      <w:r>
        <w:rPr>
          <w:rFonts w:ascii="Times New Roman" w:hAnsi="Times New Roman"/>
          <w:i/>
          <w:sz w:val="20"/>
        </w:rPr>
        <w:t>Taxation—Certain U.S. Federal Income Tax Considerations</w:t>
      </w:r>
      <w:r>
        <w:rPr>
          <w:rFonts w:ascii="Times New Roman" w:hAnsi="Times New Roman"/>
          <w:sz w:val="20"/>
        </w:rPr>
        <w:t xml:space="preserve">”) of our securities, the U.S. Holder may be subject to adverse U.S. federal income tax consequences and may be subject to additional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not expected to be treated as a PFIC for U.S. federal income tax purposes for our current taxable year or in the foreseeable future. Nevertheless, whether we are treated as a PFIC for U.S. federal income tax purposes for any taxable year is a factual determination that can only be made after the close of such taxable year and, thus, is subject to significant uncertainty and change. Accordingly, there can be no assurances with respect to our status as a PFIC for our current taxable year or any subsequent taxable year. In addition, our U.S. counsel expresses no opinion with respect to our PFIC status for any taxable year. U.S. investors are urged to consult their own tax advisors regarding the possible application of the PFIC rules to their investment in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55980_7"/>
      <w:bookmarkEnd w:id="9"/>
      <w:r>
        <w:rPr>
          <w:rFonts w:ascii="Times New Roman" w:hAnsi="Times New Roman"/>
          <w:b/>
          <w:sz w:val="20"/>
        </w:rPr>
        <w:t xml:space="preserve">CAPITALIZATION AND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total capitalization on an actual basis as of December 31, 2025, including the effect to the issuance of the PIPE shares on September 2, 2025, as described in the Company’s Form 6-K filed on September 3, 2025.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table should be read in conjunction with the financial statements and notes thereto and other financial information included in this prospectus, any prospectus supplement or incorporated by reference in this prospectus. Our historical results do not necessarily indicate our expected results for any future periods.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91"/>
        <w:gridCol w:w="406"/>
        <w:gridCol w:w="145"/>
        <w:gridCol w:w="952"/>
        <w:gridCol w:w="155"/>
        <w:gridCol w:w="406"/>
        <w:gridCol w:w="60"/>
        <w:gridCol w:w="1075"/>
        <w:gridCol w:w="65"/>
      </w:tblGrid>
      <w:tr>
        <w:trPr/>
        <w:tc>
          <w:tcPr>
            <w:tcW w:w="4491"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7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br/>
              <w:t>2025</w:t>
            </w:r>
          </w:p>
        </w:tc>
        <w:tc>
          <w:tcPr>
            <w:tcW w:w="65" w:type="dxa"/>
            <w:tcBorders/>
            <w:vAlign w:val="bottom"/>
          </w:tcPr>
          <w:p>
            <w:pPr>
              <w:pStyle w:val="TableContents"/>
              <w:bidi w:val="0"/>
              <w:spacing w:before="0" w:after="283"/>
              <w:jc w:val="left"/>
              <w:rPr/>
            </w:pPr>
            <w:r>
              <w:rPr/>
              <w:t> </w:t>
            </w:r>
          </w:p>
        </w:tc>
      </w:tr>
      <w:tr>
        <w:trPr/>
        <w:tc>
          <w:tcPr>
            <w:tcW w:w="4491" w:type="dxa"/>
            <w:tcBorders/>
            <w:vAlign w:val="bottom"/>
          </w:tcPr>
          <w:p>
            <w:pPr>
              <w:pStyle w:val="TableContents"/>
              <w:bidi w:val="0"/>
              <w:spacing w:before="0" w:after="283"/>
              <w:jc w:val="left"/>
              <w:rPr>
                <w:i/>
              </w:rPr>
            </w:pPr>
            <w:r>
              <w:rPr>
                <w:i/>
              </w:rPr>
              <w:t>Dollars in thousands</w:t>
            </w:r>
          </w:p>
        </w:tc>
        <w:tc>
          <w:tcPr>
            <w:tcW w:w="406" w:type="dxa"/>
            <w:tcBorders/>
            <w:vAlign w:val="bottom"/>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pPr>
            <w:r>
              <w:rPr/>
              <w:t>    </w:t>
            </w:r>
          </w:p>
        </w:tc>
        <w:tc>
          <w:tcPr>
            <w:tcW w:w="65" w:type="dxa"/>
            <w:tcBorders/>
            <w:vAlign w:val="bottom"/>
          </w:tcPr>
          <w:p>
            <w:pPr>
              <w:pStyle w:val="TableContents"/>
              <w:bidi w:val="0"/>
              <w:spacing w:before="0" w:after="283"/>
              <w:jc w:val="left"/>
              <w:rPr/>
            </w:pPr>
            <w:r>
              <w:rPr/>
              <w:t> </w:t>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Plant and equipment, net</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577</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Deposits</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9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b/>
              </w:rPr>
            </w:pPr>
            <w:r>
              <w:rPr>
                <w:b/>
              </w:rPr>
              <w:t>663</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Deposits, prepayments and deferred expenses</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470</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2,305</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3,276</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current assets </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b/>
              </w:rPr>
            </w:pPr>
            <w:r>
              <w:rPr>
                <w:b/>
              </w:rPr>
              <w:t>6,051</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9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assets </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b/>
              </w:rPr>
            </w:pPr>
            <w:r>
              <w:rPr>
                <w:b/>
              </w:rPr>
              <w:t>6,714</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91"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Current liabilities</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Other payables and accruals</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6,117</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 current portion</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9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current liabilities </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b/>
              </w:rPr>
            </w:pPr>
            <w:r>
              <w:rPr>
                <w:b/>
              </w:rPr>
              <w:t>6,326</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tcPr>
          <w:p>
            <w:pPr>
              <w:pStyle w:val="TableContents"/>
              <w:bidi w:val="0"/>
              <w:spacing w:before="0" w:after="20"/>
              <w:jc w:val="left"/>
              <w:rPr>
                <w:rFonts w:ascii="Times New Roman" w:hAnsi="Times New Roman"/>
                <w:sz w:val="20"/>
              </w:rPr>
            </w:pPr>
            <w:r>
              <w:rPr>
                <w:rFonts w:ascii="Times New Roman" w:hAnsi="Times New Roman"/>
                <w:sz w:val="20"/>
              </w:rPr>
              <w:t>Lease liabilities, non-current portion</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434</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 at FVTPL (Financial assets at fair value through profit and loss)</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3,018</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non-current liabilities </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b/>
              </w:rPr>
            </w:pPr>
            <w:r>
              <w:rPr>
                <w:b/>
              </w:rPr>
              <w:t>3,576</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9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Net liabilities (assets) </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b/>
              </w:rPr>
            </w:pPr>
            <w:r>
              <w:rPr>
                <w:b/>
              </w:rPr>
              <w:t>(3,188</w:t>
            </w:r>
          </w:p>
        </w:tc>
        <w:tc>
          <w:tcPr>
            <w:tcW w:w="155" w:type="dxa"/>
            <w:tcBorders/>
            <w:vAlign w:val="bottom"/>
          </w:tcPr>
          <w:p>
            <w:pPr>
              <w:pStyle w:val="TableContents"/>
              <w:bidi w:val="0"/>
              <w:spacing w:before="0" w:after="283"/>
              <w:jc w:val="left"/>
              <w:rPr>
                <w:b/>
              </w:rPr>
            </w:pPr>
            <w:r>
              <w:rPr>
                <w:b/>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premium</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670,384</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Reserves</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38,169</w:t>
            </w:r>
          </w:p>
        </w:tc>
        <w:tc>
          <w:tcPr>
            <w:tcW w:w="155"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40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(711,762</w:t>
            </w:r>
          </w:p>
        </w:tc>
        <w:tc>
          <w:tcPr>
            <w:tcW w:w="155"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9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equity (deficit) </w:t>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952" w:type="dxa"/>
            <w:tcBorders/>
            <w:vAlign w:val="bottom"/>
          </w:tcPr>
          <w:p>
            <w:pPr>
              <w:pStyle w:val="TableContents"/>
              <w:bidi w:val="0"/>
              <w:spacing w:before="0" w:after="283"/>
              <w:jc w:val="right"/>
              <w:rPr>
                <w:b/>
              </w:rPr>
            </w:pPr>
            <w:r>
              <w:rPr>
                <w:b/>
              </w:rPr>
              <w:t>(3,188</w:t>
            </w:r>
          </w:p>
        </w:tc>
        <w:tc>
          <w:tcPr>
            <w:tcW w:w="155" w:type="dxa"/>
            <w:tcBorders/>
            <w:vAlign w:val="bottom"/>
          </w:tcPr>
          <w:p>
            <w:pPr>
              <w:pStyle w:val="TableContents"/>
              <w:bidi w:val="0"/>
              <w:spacing w:before="0" w:after="283"/>
              <w:jc w:val="left"/>
              <w:rPr>
                <w:b/>
              </w:rPr>
            </w:pPr>
            <w:r>
              <w:rPr>
                <w:b/>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55980_8"/>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Class A Ordinary Shares offered by the Selling Securityholders pursuant to this prospectus will be sold by the Selling Securityholders for their respective accounts. We will not receive any of the proceeds from such sales. </w:t>
      </w:r>
    </w:p>
    <w:p>
      <w:pPr>
        <w:pStyle w:val="TextBody"/>
        <w:bidi w:val="0"/>
        <w:spacing w:before="240" w:after="0"/>
        <w:jc w:val="left"/>
        <w:rPr>
          <w:rFonts w:ascii="Times New Roman" w:hAnsi="Times New Roman"/>
          <w:sz w:val="20"/>
        </w:rPr>
      </w:pPr>
      <w:r>
        <w:rPr>
          <w:rFonts w:ascii="Times New Roman" w:hAnsi="Times New Roman"/>
          <w:sz w:val="20"/>
        </w:rPr>
        <w:t xml:space="preserve">We will bear all costs, expenses and fees in connection with the registration of the Class A Ordinary Shares offered by the Selling Securityholders pursuant to this prospectus, whereas the Selling Securityholders will bear all incremental selling expenses, including commissions, brokerage fees and other similar selling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55980_9"/>
      <w:bookmarkEnd w:id="11"/>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 on our Class A Ordinary Shares. We currently intend to retain any future earnings and do not expect to pay any dividends in the foreseeable future. Any further determination to pay dividends on our Class A Ordinary Shares would be at the discretion of our board of directors, subject to applicable laws, and would depend on our financial condition, results of operations, capital requirements, general business conditions, and other factors that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55980_10"/>
      <w:bookmarkEnd w:id="12"/>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are an exempted company incorporated in the Cayman Islands with limited liability and our affairs are be governed by the MAA, the Cayman Islands Companies Act and the common law of the Cayman Islands. </w:t>
      </w:r>
    </w:p>
    <w:p>
      <w:pPr>
        <w:pStyle w:val="TextBody"/>
        <w:bidi w:val="0"/>
        <w:spacing w:before="240" w:after="0"/>
        <w:jc w:val="left"/>
        <w:rPr>
          <w:rFonts w:ascii="Times New Roman" w:hAnsi="Times New Roman"/>
          <w:sz w:val="20"/>
        </w:rPr>
      </w:pPr>
      <w:r>
        <w:rPr>
          <w:rFonts w:ascii="Times New Roman" w:hAnsi="Times New Roman"/>
          <w:sz w:val="20"/>
        </w:rPr>
        <w:t>Pursuant to the Articles and the Resolutions, the authorized share capital of Apollomics is 100,000,000 Class A ordinary shares, par value $0.01 per share (“</w:t>
      </w:r>
      <w:r>
        <w:rPr>
          <w:rFonts w:ascii="Times New Roman" w:hAnsi="Times New Roman"/>
          <w:b/>
          <w:i/>
          <w:sz w:val="20"/>
        </w:rPr>
        <w:t>Class</w:t>
      </w:r>
      <w:r>
        <w:rPr>
          <w:rFonts w:ascii="Times New Roman" w:hAnsi="Times New Roman"/>
          <w:sz w:val="20"/>
        </w:rPr>
        <w:t> </w:t>
      </w:r>
      <w:r>
        <w:rPr>
          <w:rFonts w:ascii="Times New Roman" w:hAnsi="Times New Roman"/>
          <w:b/>
          <w:i/>
          <w:sz w:val="20"/>
        </w:rPr>
        <w:t>A Ordinary Shares</w:t>
      </w:r>
      <w:r>
        <w:rPr>
          <w:rFonts w:ascii="Times New Roman" w:hAnsi="Times New Roman"/>
          <w:sz w:val="20"/>
        </w:rPr>
        <w:t>”), and 20,000,000 Class B ordinary shares, par value $0.01 per share (“</w:t>
      </w:r>
      <w:r>
        <w:rPr>
          <w:rFonts w:ascii="Times New Roman" w:hAnsi="Times New Roman"/>
          <w:b/>
          <w:i/>
          <w:sz w:val="20"/>
        </w:rPr>
        <w:t>Class</w:t>
      </w:r>
      <w:r>
        <w:rPr>
          <w:rFonts w:ascii="Times New Roman" w:hAnsi="Times New Roman"/>
          <w:sz w:val="20"/>
        </w:rPr>
        <w:t> </w:t>
      </w:r>
      <w:r>
        <w:rPr>
          <w:rFonts w:ascii="Times New Roman" w:hAnsi="Times New Roman"/>
          <w:b/>
          <w:i/>
          <w:sz w:val="20"/>
        </w:rPr>
        <w:t>B Ordinary Shares</w:t>
      </w:r>
      <w:r>
        <w:rPr>
          <w:rFonts w:ascii="Times New Roman" w:hAnsi="Times New Roman"/>
          <w:sz w:val="20"/>
        </w:rPr>
        <w:t xml:space="preserve">”), and 10,000,000 preference shares, par value $0.01 per share. Currently, the Company only has Class A Ordinary Shares outstanding. All of our outstanding shares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Apollomics may determine the issue prices and terms for our shares or other securities, and may further determine any other provision relating to such issue of shares or securities. We may also issue and redeem redeemable securities on such terms and in such manner as the Board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The only securities being offered pursuant to this prospectus are Class A Ordinary Shares. </w:t>
      </w:r>
    </w:p>
    <w:p>
      <w:pPr>
        <w:pStyle w:val="TextBody"/>
        <w:bidi w:val="0"/>
        <w:spacing w:before="360" w:after="0"/>
        <w:jc w:val="left"/>
        <w:rPr>
          <w:rFonts w:ascii="Times New Roman" w:hAnsi="Times New Roman"/>
          <w:i/>
          <w:sz w:val="20"/>
        </w:rPr>
      </w:pPr>
      <w:r>
        <w:rPr>
          <w:rFonts w:ascii="Times New Roman" w:hAnsi="Times New Roman"/>
          <w:i/>
          <w:sz w:val="20"/>
        </w:rPr>
        <w:t xml:space="preserve">Apollomics 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Each registered holder of our Class A Ordinary Shares is entitled to one vote for each Class A Ordinary Share of which he, she or it is the registered holder, subject to any rights and restrictions for the time being attached to any share. Unless specified in our MAA, or as required by applicable provisions of the Cayman Companies Law or applicable stock exchange rules, an ordinary resolution, being, the affirmative vote of shareholders holding a majority of the shares which, being so entitled, are voted thereon in person or by proxy at a quorate general meeting of the company or a unanimous written resolution of all of our shareholders entitled to vote at a general meeting of the company, is required to approve any such matter voted on by our shareholders. Approval of certain actions, such as amending the MAA, reducing our share capital, registration of our company by way of continuation in a jurisdiction outside the Cayman Islands and merger or consolidation with one or more other constituent companies, requires a special resolution under Cayman Islands law and pursuant to the MAA, being the affirmative vote of shareholders holding a majority of not less than two-thirds of the shares which, being so entitled, are voted thereon in person or by proxy at a quorate general meeting of the company or a unanimous written resolution of all of our shareholders entitled to vote at a general meeting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hereof, we had 2,196,052 Class A Ordinary Shares issued and outstanding. Since December 31, 2024, the Company has issued an aggregate of 1,093,260. Class A Ordinary Shares, the vast majority of which were issued in the private placement of shares made to the 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Class A Ordinary Shares are listed on Nasdaq under the symbol “APLM”. Trading in the Class A Ordinary Shares was suspended from September 18, 2025 until October 14, 2025. Trading had been suspended when the Company received a delisting determination letter from Nasdaq asserting that Nasdaq intended to delist the Company’s Class A Ordinary Shares and warrants based on the Nasdaq staff’s then-belief that the Company was a “public shell.” The Company appealed this determination, and based on materials submitted as part of the appeal process, Nasdaq staff determined that the Company was in compliance with Nasdaq’s continued listing requirements. The trading halt was therefore lifted and trading resumed. </w:t>
      </w:r>
    </w:p>
    <w:p>
      <w:pPr>
        <w:pStyle w:val="TextBody"/>
        <w:bidi w:val="0"/>
        <w:spacing w:before="360" w:after="0"/>
        <w:jc w:val="left"/>
        <w:rPr>
          <w:rFonts w:ascii="Times New Roman" w:hAnsi="Times New Roman"/>
          <w:i/>
          <w:sz w:val="20"/>
        </w:rPr>
      </w:pPr>
      <w:r>
        <w:rPr>
          <w:rFonts w:ascii="Times New Roman" w:hAnsi="Times New Roman"/>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business combination with Maxpro, we issued 11,026,900 warrants, consisting of (a) 619,400 private and extension warrants and 10,350,000 public warrants, each entitling its holder to purchase one Class A Ordinary Share at an initial exercise price equal to $11.50 per whole share, and (b) 57,500 penny warrants each entitling its holder to purchase one Class A Ordinary Share at an exercise price equal to $0.01 per whole share. As of the date hereof, 619,400 private and extension warrants, 10,350,000 public warrants, and 7,500 penny warrants remain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warrants are listed on Nasdaq under the symbol “APLMW”. Our penny warrants are not listed on Nasdaq. The Company has not issued any warrants since July 7, 2023. </w:t>
      </w:r>
    </w:p>
    <w:p>
      <w:pPr>
        <w:pStyle w:val="TextBody"/>
        <w:bidi w:val="0"/>
        <w:spacing w:before="360" w:after="0"/>
        <w:jc w:val="left"/>
        <w:rPr>
          <w:rFonts w:ascii="Times New Roman" w:hAnsi="Times New Roman"/>
          <w:i/>
          <w:sz w:val="20"/>
        </w:rPr>
      </w:pPr>
      <w:r>
        <w:rPr>
          <w:rFonts w:ascii="Times New Roman" w:hAnsi="Times New Roman"/>
          <w:i/>
          <w:sz w:val="20"/>
        </w:rPr>
        <w:t xml:space="preserve">Incentive Plans </w:t>
      </w:r>
    </w:p>
    <w:p>
      <w:pPr>
        <w:pStyle w:val="TextBody"/>
        <w:bidi w:val="0"/>
        <w:spacing w:before="120" w:after="0"/>
        <w:jc w:val="left"/>
        <w:rPr>
          <w:rFonts w:ascii="Times New Roman" w:hAnsi="Times New Roman"/>
          <w:sz w:val="20"/>
        </w:rPr>
      </w:pPr>
      <w:r>
        <w:rPr>
          <w:rFonts w:ascii="Times New Roman" w:hAnsi="Times New Roman"/>
          <w:b/>
          <w:sz w:val="20"/>
        </w:rPr>
        <w:t>2016 Equity Incentive Plan.</w:t>
      </w:r>
      <w:r>
        <w:rPr>
          <w:rFonts w:ascii="Times New Roman" w:hAnsi="Times New Roman"/>
          <w:sz w:val="20"/>
        </w:rPr>
        <w:t xml:space="preserve"> In July 2016, the Apollomics Board adopted, and our shareholders approved the CB Therapeutics Inc. 2016 Equity Incentive Plan (the “</w:t>
      </w:r>
      <w:r>
        <w:rPr>
          <w:rFonts w:ascii="Times New Roman" w:hAnsi="Times New Roman"/>
          <w:b/>
          <w:i/>
          <w:sz w:val="20"/>
        </w:rPr>
        <w:t>2016 Plan</w:t>
      </w:r>
      <w:r>
        <w:rPr>
          <w:rFonts w:ascii="Times New Roman" w:hAnsi="Times New Roman"/>
          <w:sz w:val="20"/>
        </w:rPr>
        <w:t xml:space="preserve">”). The 2016 Plan has not been amended since its adoption in July 2016. No further awards will be made under the 2016 Plan; however, awards outstanding under the 2016 Plan will continue to be governed by their existing terms. As of December 31, 2025, there were outstanding options to purchase 59,241 of our Class A Ordinary Shares with a weighted average exercise price of </w:t>
      </w:r>
      <w:r>
        <w:rPr>
          <w:rFonts w:ascii="Times New Roman" w:hAnsi="Times New Roman"/>
          <w:b/>
          <w:sz w:val="20"/>
        </w:rPr>
        <w:t>$419.60</w:t>
      </w:r>
      <w:r>
        <w:rPr>
          <w:rFonts w:ascii="Times New Roman" w:hAnsi="Times New Roman"/>
          <w:sz w:val="20"/>
        </w:rPr>
        <w:t xml:space="preserve">, 56,618 of which were vested and exercisable, and 2,623 outstanding unvested restricted shares. </w:t>
      </w:r>
    </w:p>
    <w:p>
      <w:pPr>
        <w:pStyle w:val="TextBody"/>
        <w:bidi w:val="0"/>
        <w:spacing w:before="240" w:after="0"/>
        <w:jc w:val="left"/>
        <w:rPr>
          <w:rFonts w:ascii="Times New Roman" w:hAnsi="Times New Roman"/>
          <w:sz w:val="20"/>
        </w:rPr>
      </w:pPr>
      <w:r>
        <w:rPr>
          <w:rFonts w:ascii="Times New Roman" w:hAnsi="Times New Roman"/>
          <w:b/>
          <w:sz w:val="20"/>
        </w:rPr>
        <w:t xml:space="preserve">2023 Share Incentive Plan. </w:t>
      </w:r>
      <w:r>
        <w:rPr>
          <w:rFonts w:ascii="Times New Roman" w:hAnsi="Times New Roman"/>
          <w:sz w:val="20"/>
        </w:rPr>
        <w:t>In connection with the Business Combination, the Apollomics Board adopted the 2023 Incentive Award Plan (the “</w:t>
      </w:r>
      <w:r>
        <w:rPr>
          <w:rFonts w:ascii="Times New Roman" w:hAnsi="Times New Roman"/>
          <w:b/>
          <w:sz w:val="20"/>
        </w:rPr>
        <w:t>2023 Plan</w:t>
      </w:r>
      <w:r>
        <w:rPr>
          <w:rFonts w:ascii="Times New Roman" w:hAnsi="Times New Roman"/>
          <w:sz w:val="20"/>
        </w:rPr>
        <w:t xml:space="preserve">”). We initially reserved for the issuance of awards under the 2023 Incentive Plan the number of Class A Ordinary Shares equal to 10% of all outstanding Class A Ordinary Shares following the closing of the Business Combination. The number of shares reserved for issuance under the 2023 Incentive Plan will increase automatically on January 1 of each year from 2024 through 2033 by the number of shares equal to the lesser of (i) 3% of the total number of outstanding shares (rounded down to the nearest whole share) of Class A Ordinary Shares as of the immediately preceding December 31, or (ii) a number as may be determined by our Board. As of December 31, 2025, there were outstanding options to purchase 32,831 of our Class A Ordinary Shares with a weighted average exercise price of $66.09, 23,893 of which were vested and exercisable, and 8,938 outstanding unvested restricted shares. </w:t>
      </w:r>
    </w:p>
    <w:p>
      <w:pPr>
        <w:pStyle w:val="TextBody"/>
        <w:bidi w:val="0"/>
        <w:spacing w:before="240" w:after="0"/>
        <w:jc w:val="left"/>
        <w:rPr/>
      </w:pPr>
      <w:r>
        <w:rPr>
          <w:rFonts w:ascii="Times New Roman" w:hAnsi="Times New Roman"/>
          <w:sz w:val="20"/>
        </w:rPr>
        <w:t xml:space="preserve">For a more detailed description of our Class A Ordinary Shares, Class B Ordinary Shares, Series A Preferred Shares and warrants, including the rights and obligations attached thereto, as well as our equity incentive plans, please refer to </w:t>
      </w:r>
      <w:hyperlink r:id="rId6">
        <w:r>
          <w:rPr>
            <w:rStyle w:val="InternetLink"/>
            <w:rFonts w:ascii="Times New Roman" w:hAnsi="Times New Roman"/>
            <w:sz w:val="20"/>
          </w:rPr>
          <w:t>Exhibit 2.1</w:t>
        </w:r>
      </w:hyperlink>
      <w:r>
        <w:rPr>
          <w:rFonts w:ascii="Times New Roman" w:hAnsi="Times New Roman"/>
          <w:sz w:val="20"/>
        </w:rPr>
        <w:t xml:space="preserve"> to our Annual Report on Form 20-F for the year ended December 31, 2024, which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55980_10a"/>
      <w:bookmarkEnd w:id="13"/>
      <w:r>
        <w:rPr>
          <w:rFonts w:ascii="Times New Roman" w:hAnsi="Times New Roman"/>
          <w:b/>
          <w:sz w:val="20"/>
        </w:rPr>
        <w:t xml:space="preserve">CAPITALIZATION HISTORY </w:t>
      </w:r>
    </w:p>
    <w:p>
      <w:pPr>
        <w:pStyle w:val="TextBody"/>
        <w:bidi w:val="0"/>
        <w:spacing w:before="240" w:after="0"/>
        <w:jc w:val="left"/>
        <w:rPr>
          <w:rFonts w:ascii="Times New Roman" w:hAnsi="Times New Roman"/>
          <w:sz w:val="20"/>
        </w:rPr>
      </w:pPr>
      <w:r>
        <w:rPr>
          <w:rFonts w:ascii="Times New Roman" w:hAnsi="Times New Roman"/>
          <w:b/>
          <w:sz w:val="20"/>
        </w:rPr>
        <w:t xml:space="preserve">Business Combination. </w:t>
      </w:r>
      <w:r>
        <w:rPr>
          <w:rFonts w:ascii="Times New Roman" w:hAnsi="Times New Roman"/>
          <w:sz w:val="20"/>
        </w:rPr>
        <w:t>Pursuant to a business combination agreement, dated as of September 14, 2022 (as amended, the “</w:t>
      </w:r>
      <w:r>
        <w:rPr>
          <w:rFonts w:ascii="Times New Roman" w:hAnsi="Times New Roman"/>
          <w:b/>
          <w:i/>
          <w:sz w:val="20"/>
        </w:rPr>
        <w:t>Business Combination Agreement</w:t>
      </w:r>
      <w:r>
        <w:rPr>
          <w:rFonts w:ascii="Times New Roman" w:hAnsi="Times New Roman"/>
          <w:sz w:val="20"/>
        </w:rPr>
        <w:t>”), by and among Maxpro, Apollomics and Merger Sub, Merger Sub merged with and into Maxpro, with Maxpro surviving the merger (the “</w:t>
      </w:r>
      <w:r>
        <w:rPr>
          <w:rFonts w:ascii="Times New Roman" w:hAnsi="Times New Roman"/>
          <w:b/>
          <w:i/>
          <w:sz w:val="20"/>
        </w:rPr>
        <w:t>Business Combination</w:t>
      </w:r>
      <w:r>
        <w:rPr>
          <w:rFonts w:ascii="Times New Roman" w:hAnsi="Times New Roman"/>
          <w:sz w:val="20"/>
        </w:rPr>
        <w:t xml:space="preserve">”). Upon consummation of the Business Combination and the other transactions contemplated by the Business Combination Agreement on March 29, 2023, Maxpro became a wholly owned subsidiary of Apollomics and Apollomics became a publicly traded company on Nasdaq under the trading symbols “APLM” and “APLMW,” respectively. The impact of the business combination on the Company’s capitalization is discussed in greater detail in our Annual Report, which is incorporate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Apollomics also entered into a private placement with certain accredited investors for an aggregate of 2,300 Class B Ordinary Shares at a price of $1,000.00 per share, 21,350 Series A Preferred Shares at a price of $1,000.00 per share and 57,500 Penny Warrants to purchase Class A Ordinary Shares, for a total of $23.7 million. </w:t>
      </w:r>
    </w:p>
    <w:p>
      <w:pPr>
        <w:pStyle w:val="TextBody"/>
        <w:bidi w:val="0"/>
        <w:spacing w:before="240" w:after="0"/>
        <w:jc w:val="left"/>
        <w:rPr>
          <w:rFonts w:ascii="Times New Roman" w:hAnsi="Times New Roman"/>
          <w:sz w:val="20"/>
        </w:rPr>
      </w:pPr>
      <w:r>
        <w:rPr>
          <w:rFonts w:ascii="Times New Roman" w:hAnsi="Times New Roman"/>
          <w:b/>
          <w:sz w:val="20"/>
        </w:rPr>
        <w:t>May 2024 PIPE Offering.</w:t>
      </w:r>
      <w:r>
        <w:rPr>
          <w:rFonts w:ascii="Times New Roman" w:hAnsi="Times New Roman"/>
          <w:sz w:val="20"/>
        </w:rPr>
        <w:t xml:space="preserve"> On May 6, 2024, the Company entered into subscription agreements with certain accredited investors for a private placement (the “May 2024 PIPE”). The closing of the May 2024 PIPE occurred on May 8, 2024. Pursuant to such subscription agreements, the Company issued and sold an aggregate of 191,167 Class A Ordinary Shares (prior to the Share Consolidation effected in November 2024) at a purchase price of $30.00 per share, generating aggregate gross proceeds to the Company of approximately $5.75 million, before the payment of fees and expenses. The Company agreed to register the resale of the shares issued in the May 2024 PIPE. </w:t>
      </w:r>
    </w:p>
    <w:p>
      <w:pPr>
        <w:pStyle w:val="TextBody"/>
        <w:bidi w:val="0"/>
        <w:spacing w:before="240" w:after="0"/>
        <w:jc w:val="left"/>
        <w:rPr>
          <w:rFonts w:ascii="Times New Roman" w:hAnsi="Times New Roman"/>
          <w:sz w:val="20"/>
        </w:rPr>
      </w:pPr>
      <w:r>
        <w:rPr>
          <w:rFonts w:ascii="Times New Roman" w:hAnsi="Times New Roman"/>
          <w:b/>
          <w:sz w:val="20"/>
        </w:rPr>
        <w:t>ATM Offering</w:t>
      </w:r>
      <w:r>
        <w:rPr>
          <w:rFonts w:ascii="Times New Roman" w:hAnsi="Times New Roman"/>
          <w:sz w:val="20"/>
        </w:rPr>
        <w:t>. On May 24, 2024, Apollomics entered into a Sales Agreement (the “Sales Agreement”) with Cantor Fitzgerald &amp; Co., as sales agent (the “</w:t>
      </w:r>
      <w:r>
        <w:rPr>
          <w:rFonts w:ascii="Times New Roman" w:hAnsi="Times New Roman"/>
          <w:b/>
          <w:i/>
          <w:sz w:val="20"/>
        </w:rPr>
        <w:t>Sales Agent</w:t>
      </w:r>
      <w:r>
        <w:rPr>
          <w:rFonts w:ascii="Times New Roman" w:hAnsi="Times New Roman"/>
          <w:sz w:val="20"/>
        </w:rPr>
        <w:t>”), in connection with the offer and sale from time to time by the Company of the Company’s Class A Ordinary Shares (having a then aggregate offering price of up to $19 million), through or to the Sales Agent. The issuance and sale, if any, of the Class A Ordinary Shares by the Company under the Sales Agreement will be made pursuant to the Company’s effective registration statement on Form F-3 (Registration Statement No. 333-278430), and would be deemed to be an “at the market offering” as defined in Rule 415(a)(4) promulgated under the Securities Act of 1933, as amended (the “</w:t>
      </w:r>
      <w:r>
        <w:rPr>
          <w:rFonts w:ascii="Times New Roman" w:hAnsi="Times New Roman"/>
          <w:b/>
          <w:i/>
          <w:sz w:val="20"/>
        </w:rPr>
        <w:t>Securities Act</w:t>
      </w:r>
      <w:r>
        <w:rPr>
          <w:rFonts w:ascii="Times New Roman" w:hAnsi="Times New Roman"/>
          <w:sz w:val="20"/>
        </w:rPr>
        <w:t xml:space="preserve">”), from time to time. Sales may also be conducted, with the Company’s consent, in negotiated transactions. The Company is not obligated to make any sales of Class A Ordinary Shares pursuant to the Sales Agreement, and as of the date hereof, no share has been sold pursuant to this arrangement. </w:t>
      </w:r>
    </w:p>
    <w:p>
      <w:pPr>
        <w:pStyle w:val="TextBody"/>
        <w:bidi w:val="0"/>
        <w:spacing w:before="240" w:after="0"/>
        <w:jc w:val="left"/>
        <w:rPr>
          <w:rFonts w:ascii="Times New Roman" w:hAnsi="Times New Roman"/>
          <w:sz w:val="20"/>
        </w:rPr>
      </w:pPr>
      <w:r>
        <w:rPr>
          <w:rFonts w:ascii="Times New Roman" w:hAnsi="Times New Roman"/>
          <w:b/>
          <w:sz w:val="20"/>
        </w:rPr>
        <w:t xml:space="preserve">Reverse Stock Split. </w:t>
      </w:r>
      <w:r>
        <w:rPr>
          <w:rFonts w:ascii="Times New Roman" w:hAnsi="Times New Roman"/>
          <w:sz w:val="20"/>
        </w:rPr>
        <w:t xml:space="preserve">On November 25, 2024, following shareholder approval, the Company completed a 100 to 1 reverse split of its Class A Ordinary Shares. The reverse split was conducted in order to secure compliance with the Nasdaq listing requirement to maintain a minimum closing bid price of $1.00 per share, as set forth in Nasdaq Listing Rule 5550(a)(2). </w:t>
      </w:r>
    </w:p>
    <w:p>
      <w:pPr>
        <w:pStyle w:val="TextBody"/>
        <w:bidi w:val="0"/>
        <w:spacing w:before="240" w:after="0"/>
        <w:jc w:val="left"/>
        <w:rPr>
          <w:rFonts w:ascii="Times New Roman" w:hAnsi="Times New Roman"/>
          <w:sz w:val="20"/>
        </w:rPr>
      </w:pPr>
      <w:r>
        <w:rPr>
          <w:rFonts w:ascii="Times New Roman" w:hAnsi="Times New Roman"/>
          <w:b/>
          <w:sz w:val="20"/>
        </w:rPr>
        <w:t>2025 PIPE Offering.</w:t>
      </w:r>
      <w:r>
        <w:rPr>
          <w:rFonts w:ascii="Times New Roman" w:hAnsi="Times New Roman"/>
          <w:sz w:val="20"/>
        </w:rPr>
        <w:t xml:space="preserve"> On September 2, 2025, Apollomics Inc., a Cayman Islands exempted company, entered into subscription agreements (the “PIPE Subscription Agreements”) for a private placement (the “PIPE”) with certain accredited investors (each, a “Purchaser” and collectively, the “Purchasers”). The closing of the PIPE occurred on September 3, 2025 (the “Closing Date”). Pursuant to the PIPE Subscription Agreements, the Purchasers purchased an aggregate of 1.04 million Class A Ordinary Shares, par value $0.01 per share, of the Company (the “PIPE Shares”), at a price per share of $3.9317 (the closing price on August 29, 2025), representing aggregate gross proceeds to the Company of $4.1 million, prior to the payment of fees and expenses. </w:t>
      </w:r>
    </w:p>
    <w:p>
      <w:pPr>
        <w:pStyle w:val="TextBody"/>
        <w:bidi w:val="0"/>
        <w:spacing w:before="480" w:after="0"/>
        <w:jc w:val="center"/>
        <w:rPr>
          <w:rFonts w:ascii="Times New Roman" w:hAnsi="Times New Roman"/>
          <w:b/>
          <w:sz w:val="20"/>
        </w:rPr>
      </w:pPr>
      <w:bookmarkStart w:id="14" w:name="toc55980_11"/>
      <w:bookmarkEnd w:id="14"/>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by the Selling Securityholders of up to 279,775 Class A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Selling Securityholders may offer and sell, from time to time, any or all of the Class A Ordinary Shares being offered for resale pursuant to this prospectus. In this prospectus, the term “</w:t>
      </w:r>
      <w:r>
        <w:rPr>
          <w:rFonts w:ascii="Times New Roman" w:hAnsi="Times New Roman"/>
          <w:b/>
          <w:i/>
          <w:sz w:val="20"/>
        </w:rPr>
        <w:t>Selling Securityholders</w:t>
      </w:r>
      <w:r>
        <w:rPr>
          <w:rFonts w:ascii="Times New Roman" w:hAnsi="Times New Roman"/>
          <w:sz w:val="20"/>
        </w:rPr>
        <w:t xml:space="preserve">” includes (i) the persons and entities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securities covered by this prospectus after the date of this prospectus from the named Selling Securityholders as a gift, pledge, partnership distribution or other non-sale related transfer.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as of the date of this prospectus, the name of the Selling Securityholders for which we are registering Class A Ordinary Shares for resale to the public, and the aggregate principal amount that the Selling Securityholders may offer pursuant to this prospectus. In accordance with SEC rules, individuals and entities below are shown as having beneficial ownership over shares they own or have the right to acquire within 60 days, as well as shares for which they have the right to vote or dispose of such shares. Also in accordance with SEC rules, for purposes of calculating percentages of beneficial ownership, shares which a person has the right to acquire within 60 days are included both in that person’s beneficial ownership as well as in the total number of shares issued and outstanding used to calculate that person’s percentage ownership but not for purposes of calculating the percentage for other persons. In some cases, the same Class A Ordinary Shares are reflected more than once in the table below because more than one holder may be deemed the beneficial owner of the same Class A Ordinary Shares. We have based percentage ownership on 2,196,052 Class A Ordinary Shares outstanding as of April 30, 2026. </w:t>
      </w:r>
    </w:p>
    <w:p>
      <w:pPr>
        <w:pStyle w:val="TextBody"/>
        <w:bidi w:val="0"/>
        <w:spacing w:before="240" w:after="0"/>
        <w:jc w:val="left"/>
        <w:rPr>
          <w:rFonts w:ascii="Times New Roman" w:hAnsi="Times New Roman"/>
          <w:sz w:val="20"/>
        </w:rPr>
      </w:pPr>
      <w:r>
        <w:rPr>
          <w:rFonts w:ascii="Times New Roman" w:hAnsi="Times New Roman"/>
          <w:sz w:val="20"/>
        </w:rPr>
        <w:t>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Please see the section titled “</w:t>
      </w:r>
      <w:r>
        <w:rPr>
          <w:rFonts w:ascii="Times New Roman" w:hAnsi="Times New Roman"/>
          <w:i/>
          <w:sz w:val="20"/>
        </w:rPr>
        <w:t>Plan of Distribution</w:t>
      </w:r>
      <w:r>
        <w:rPr>
          <w:rFonts w:ascii="Times New Roman" w:hAnsi="Times New Roman"/>
          <w:sz w:val="20"/>
        </w:rPr>
        <w:t xml:space="preserve">” for further information regarding the Selling Securityholders’ method of distributing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business address of each beneficial owner listed in the tables below is c/o Apollomics Inc., 989 E. Hillsdale Blvd., Suite 220, Foster City, California, United States, 94404.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0"/>
        <w:gridCol w:w="194"/>
        <w:gridCol w:w="100"/>
        <w:gridCol w:w="1349"/>
        <w:gridCol w:w="100"/>
        <w:gridCol w:w="272"/>
        <w:gridCol w:w="135"/>
        <w:gridCol w:w="1011"/>
        <w:gridCol w:w="275"/>
        <w:gridCol w:w="136"/>
        <w:gridCol w:w="76"/>
        <w:gridCol w:w="1040"/>
        <w:gridCol w:w="60"/>
        <w:gridCol w:w="194"/>
        <w:gridCol w:w="188"/>
        <w:gridCol w:w="1212"/>
        <w:gridCol w:w="189"/>
        <w:gridCol w:w="445"/>
        <w:gridCol w:w="441"/>
        <w:gridCol w:w="716"/>
        <w:gridCol w:w="282"/>
      </w:tblGrid>
      <w:tr>
        <w:trPr/>
        <w:tc>
          <w:tcPr>
            <w:tcW w:w="179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967" w:type="dxa"/>
            <w:gridSpan w:val="6"/>
            <w:tcBorders/>
            <w:vAlign w:val="bottom"/>
          </w:tcPr>
          <w:p>
            <w:pPr>
              <w:pStyle w:val="TableContents"/>
              <w:bidi w:val="0"/>
              <w:spacing w:before="0" w:after="283"/>
              <w:jc w:val="center"/>
              <w:rPr>
                <w:b/>
              </w:rPr>
            </w:pPr>
            <w:r>
              <w:rPr>
                <w:b/>
              </w:rPr>
              <w:t>Class A Ordinary Shares</w:t>
              <w:br/>
              <w:t>Beneficially Owned Prior</w:t>
              <w:br/>
              <w:t>to Offering</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191" w:type="dxa"/>
            <w:gridSpan w:val="6"/>
            <w:tcBorders/>
            <w:vAlign w:val="bottom"/>
          </w:tcPr>
          <w:p>
            <w:pPr>
              <w:pStyle w:val="TableContents"/>
              <w:bidi w:val="0"/>
              <w:spacing w:before="0" w:after="283"/>
              <w:jc w:val="center"/>
              <w:rPr>
                <w:b/>
              </w:rPr>
            </w:pPr>
            <w:r>
              <w:rPr>
                <w:b/>
              </w:rPr>
              <w:t>Class A Ordinary</w:t>
              <w:br/>
              <w:t>Shares Beneficially</w:t>
              <w:br/>
              <w:t>Owned After Sale of All</w:t>
              <w:br/>
              <w:t>Class A Ordinary</w:t>
              <w:br/>
              <w:t>Shares Offered Hereby</w:t>
            </w:r>
          </w:p>
        </w:tc>
        <w:tc>
          <w:tcPr>
            <w:tcW w:w="282" w:type="dxa"/>
            <w:tcBorders/>
            <w:vAlign w:val="bottom"/>
          </w:tcPr>
          <w:p>
            <w:pPr>
              <w:pStyle w:val="TableContents"/>
              <w:bidi w:val="0"/>
              <w:spacing w:before="0" w:after="283"/>
              <w:jc w:val="left"/>
              <w:rPr/>
            </w:pPr>
            <w:r>
              <w:rPr/>
              <w:t> </w:t>
            </w:r>
          </w:p>
        </w:tc>
      </w:tr>
      <w:tr>
        <w:trPr/>
        <w:tc>
          <w:tcPr>
            <w:tcW w:w="17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94"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0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Voting</w:t>
              <w:br/>
              <w:t>Power(1)</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br/>
              <w:t>Ordinary</w:t>
              <w:br/>
              <w:t>Shares</w:t>
              <w:br/>
              <w:t>Registered</w:t>
              <w:br/>
              <w:t>Hereby</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8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Voting</w:t>
              <w:br/>
              <w:t>Power(1)</w:t>
            </w:r>
          </w:p>
        </w:tc>
        <w:tc>
          <w:tcPr>
            <w:tcW w:w="282" w:type="dxa"/>
            <w:tcBorders/>
            <w:vAlign w:val="bottom"/>
          </w:tcPr>
          <w:p>
            <w:pPr>
              <w:pStyle w:val="TableContents"/>
              <w:bidi w:val="0"/>
              <w:spacing w:before="0" w:after="283"/>
              <w:jc w:val="left"/>
              <w:rPr/>
            </w:pPr>
            <w:r>
              <w:rPr/>
              <w:t> </w:t>
            </w:r>
          </w:p>
        </w:tc>
      </w:tr>
      <w:tr>
        <w:trPr/>
        <w:tc>
          <w:tcPr>
            <w:tcW w:w="1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Tsui-Chuan Cheng</w:t>
            </w:r>
          </w:p>
        </w:tc>
        <w:tc>
          <w:tcPr>
            <w:tcW w:w="19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101,737</w:t>
            </w:r>
          </w:p>
        </w:tc>
        <w:tc>
          <w:tcPr>
            <w:tcW w:w="10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4.63</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101,737</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790" w:type="dxa"/>
            <w:tcBorders/>
          </w:tcPr>
          <w:p>
            <w:pPr>
              <w:pStyle w:val="TableContents"/>
              <w:bidi w:val="0"/>
              <w:spacing w:before="0" w:after="0"/>
              <w:jc w:val="left"/>
              <w:rPr>
                <w:rFonts w:ascii="Times New Roman" w:hAnsi="Times New Roman"/>
                <w:sz w:val="20"/>
              </w:rPr>
            </w:pPr>
            <w:r>
              <w:rPr>
                <w:rFonts w:ascii="Times New Roman" w:hAnsi="Times New Roman"/>
                <w:sz w:val="20"/>
              </w:rPr>
              <w:t>Linkmore Limited</w:t>
            </w:r>
          </w:p>
        </w:tc>
        <w:tc>
          <w:tcPr>
            <w:tcW w:w="19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50,868</w:t>
            </w:r>
          </w:p>
        </w:tc>
        <w:tc>
          <w:tcPr>
            <w:tcW w:w="10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2.32</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50,868</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Jui-Pin Wang</w:t>
            </w:r>
          </w:p>
        </w:tc>
        <w:tc>
          <w:tcPr>
            <w:tcW w:w="19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25,434</w:t>
            </w:r>
          </w:p>
        </w:tc>
        <w:tc>
          <w:tcPr>
            <w:tcW w:w="10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1.16</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25,434</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790" w:type="dxa"/>
            <w:tcBorders/>
          </w:tcPr>
          <w:p>
            <w:pPr>
              <w:pStyle w:val="TableContents"/>
              <w:bidi w:val="0"/>
              <w:spacing w:before="0" w:after="0"/>
              <w:jc w:val="left"/>
              <w:rPr>
                <w:rFonts w:ascii="Times New Roman" w:hAnsi="Times New Roman"/>
                <w:sz w:val="20"/>
              </w:rPr>
            </w:pPr>
            <w:r>
              <w:rPr>
                <w:rFonts w:ascii="Times New Roman" w:hAnsi="Times New Roman"/>
                <w:sz w:val="20"/>
              </w:rPr>
              <w:t>Wen-Ching Li</w:t>
            </w:r>
          </w:p>
        </w:tc>
        <w:tc>
          <w:tcPr>
            <w:tcW w:w="19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76,302</w:t>
            </w:r>
          </w:p>
        </w:tc>
        <w:tc>
          <w:tcPr>
            <w:tcW w:w="10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3.48</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76,302</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Chun-Chih Wang</w:t>
            </w:r>
          </w:p>
        </w:tc>
        <w:tc>
          <w:tcPr>
            <w:tcW w:w="19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25,434</w:t>
            </w:r>
          </w:p>
        </w:tc>
        <w:tc>
          <w:tcPr>
            <w:tcW w:w="10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1.16</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25,434</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 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beneficial ownership is calculated based on 2,196,052 Class A Ordinary Shares outstanding as of April 30, 2026. Unless otherwise indicated, we believe that all persons named in the table have sole voting and investment power with respect to all Class A Ordinary Shares beneficially owned by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55980_12"/>
      <w:bookmarkEnd w:id="1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which as used here includes donees, pledgees, transferees or other successors-in-interest selling Class A Ordinary Shares or interests in Class A Ordinary Shares received after the date of this prospectus from a Selling Securityholder as a gift, pledge, partnership distribution or other transfer, may, from time to time, sell, transfer or otherwise dispose of any or all of their Class A Ordinary Shares or interests in Class A Ordinary Shares on any stock exchange, market or trading facility on which the Class A Ordinary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use any one or more of the following methods when disposing of Class A Ordinary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their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Securityholders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from time to time, pledge or grant a security interest in some or all of the Class A Ordinary Shares owned by them and, if they default in the performance of their secured obligations, the pledgees or secured parties may offer and sell the Class A Ordinary Shares, from time to time, under this prospectus. The Selling Securityholders also may transfer the Class A Ordinary Shares in other circumstances, in which case the transferees, pledgees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Class A Ordinary Shares or interests therein, the Selling Securityholders may enter into hedging transactions with broker-dealers or other financial institutions, which may in turn engage in short sales of the Class A Ordinary Shares in the course of hedging the positions they assume. The Selling Securityholders may also sell Class A Ordinary Shares short and deliver these securities to close out their short positions, or loan or pledge the Class A Ordinary Shares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Class A Ordinary Shares offered by this prospectus, which Class A Ordinary Shares such broker-dealer or other financial institution may resell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also sell securities under Rule 144 under the Securities Act, if available, or in other transactions exempt from registration. Each of the Selling Securityholders reserves the right to accept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together with their agents from time to time, to reject, in whole or in part, any proposed purchase of Class A Ordinary Shares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broker-dealers or agents that participate in the sale of Class A Ordinary Shares or interests therein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Class A Ordinary Shares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Class A Ordinary Shares may be sold in these jurisdictions only through registered or licensed brokers or dealers. In addition, in some states the Class A Ordinary Shares may not be sold unless they have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securities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certain of the Selling Securityholders against liabilities, including liabilities under the Securities Act and state securities laws, relating to the registration of the Class A Ordinary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certain of the Selling Securityholders to keep the registration statement of which this prospectus constitutes a part effective until all of the securities covered by this prospectus have been disposed of pursuant to and in accordance with the registration statement or the securities have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we will use our best efforts to file one or more supplements to this prospectus to describe any material information with respect to the plan of distribution not previously disclosed in this prospectus or any material change to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55980_13"/>
      <w:bookmarkEnd w:id="16"/>
      <w:r>
        <w:rPr>
          <w:rFonts w:ascii="Times New Roman" w:hAnsi="Times New Roman"/>
          <w:b/>
          <w:sz w:val="20"/>
        </w:rPr>
        <w:t xml:space="preserve">TAXATION </w:t>
      </w:r>
    </w:p>
    <w:p>
      <w:pPr>
        <w:pStyle w:val="TextBody"/>
        <w:bidi w:val="0"/>
        <w:spacing w:before="240" w:after="0"/>
        <w:jc w:val="left"/>
        <w:rPr>
          <w:rFonts w:ascii="Times New Roman" w:hAnsi="Times New Roman"/>
          <w:b/>
          <w:sz w:val="20"/>
        </w:rPr>
      </w:pPr>
      <w:r>
        <w:rPr>
          <w:rFonts w:ascii="Times New Roman" w:hAnsi="Times New Roman"/>
          <w:b/>
          <w:sz w:val="20"/>
        </w:rPr>
        <w:t xml:space="preserve">Certain U.S. 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The following discussion is a summary of certain material U.S. federal income tax considerations to U.S. Holders (as defined below) of the ownership and disposition of our Class A Ordinary Shares that are being offered pursuant to this prospectus. This discussion applies only to U.S. Holders that hold the Class A Ordinary Shares, as the case may be, as “capital assets” within the meaning of Section 1221 of the U.S. Internal Revenue Code of 1986, as amended (the “</w:t>
      </w:r>
      <w:r>
        <w:rPr>
          <w:rFonts w:ascii="Times New Roman" w:hAnsi="Times New Roman"/>
          <w:b/>
          <w:i/>
          <w:sz w:val="20"/>
        </w:rPr>
        <w:t>Code</w:t>
      </w:r>
      <w:r>
        <w:rPr>
          <w:rFonts w:ascii="Times New Roman" w:hAnsi="Times New Roman"/>
          <w:sz w:val="20"/>
        </w:rPr>
        <w:t xml:space="preserve">”) (generally, property held for investment). The following does not purport to be a complete analysis of all potential tax effects arising in connection with the ownership and disposition of our Class A Ordinary Shares. The effects of U.S. federal tax laws other than U.S. federal income tax laws, such as estate and gift tax laws, and U.S. state, local and non-U.S. tax laws are not discussed. Please consult with your own tax advisor to determine your personal tax consequences of the ownership and disposition of the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U.S. federal income tax considerations that may be relevant to any particular investor’s particular circumstances, including the impact of the Medicare contribution tax on net investment income and the alternative minimum tax, or to investors subject to special rules under U.S. federal income tax laws,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mark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Class A Ordinary Shares as part of a hedge, straddle, constructive sale, or other risk reduction strategy or as part of a conversion transaction or other integrated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Class A Ordinary Shares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provided below, persons that actually or constructively own 5% or more (by vote or value) of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treated as partnerships or other flow- through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having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received Class A Ordinary Shares pursuant to the exercise of any employee share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estate or gift taxes, any aspect of the Medicare contribution tax on “net investment income” or the alternative minimum tax, any state, local or non-U.S.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or other pass-through entity for U.S. federal income tax purposes is a beneficial owner of our Class A Ordinary Shares, the U.S. federal income tax treatment of a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 or other beneficial owner of such partnership or pass-through entity will depend on the status of such partner, member, or other beneficial owner, the activities of the partnership or other pass- through entity and certain determinations made at the owner level. Accordingly, partnerships and other pass- through entities and the partners, members, and other beneficial owners of such partnerships and other pass- through entities should consult their tax advisors regarding the U.S. federal income tax consequences to them of the ownership and disposition of our Class A Ordinary Shares. </w:t>
      </w:r>
    </w:p>
    <w:p>
      <w:pPr>
        <w:pStyle w:val="TextBody"/>
        <w:bidi w:val="0"/>
        <w:spacing w:before="240" w:after="0"/>
        <w:jc w:val="left"/>
        <w:rPr>
          <w:rFonts w:ascii="Times New Roman" w:hAnsi="Times New Roman"/>
          <w:sz w:val="20"/>
        </w:rPr>
      </w:pPr>
      <w:r>
        <w:rPr>
          <w:rFonts w:ascii="Times New Roman" w:hAnsi="Times New Roman"/>
          <w:sz w:val="20"/>
        </w:rPr>
        <w:t>This discussion is based on the Code, U.S. Treasury regulations promulgated thereunder, judicial decisions, and published rulings and administrative pronouncements of the U.S. Internal Revenue Service (the “</w:t>
      </w:r>
      <w:r>
        <w:rPr>
          <w:rFonts w:ascii="Times New Roman" w:hAnsi="Times New Roman"/>
          <w:b/>
          <w:i/>
          <w:sz w:val="20"/>
        </w:rPr>
        <w:t>IRS</w:t>
      </w:r>
      <w:r>
        <w:rPr>
          <w:rFonts w:ascii="Times New Roman" w:hAnsi="Times New Roman"/>
          <w:sz w:val="20"/>
        </w:rPr>
        <w:t xml:space="preserve">”), in each case in effect as of the date hereof. These authorities are subject to change or to differing interpretations. Any such change or differing interpretation may be applied retroactively or otherwise have retroactive effect in a manner that could adversely affect the tax consequences discussed herein. We have not sought, and we do not intend to seek, any rulings from the IRS regarding the matters discussed herein. There can be no assurance that the IRS will not take, or a court will not sustain, a position contrary to any of the tax considerations discussed below.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ONLY A SUMMARY OF CERTAIN U.S. FEDERAL INCOME TAX CONSIDERATIONS ASSOCIATED WITH THE OWNERSHIP AND DISPOSITION OF OUR CLASS A ORDINARY SHARES. THE U.S. FEDERAL INCOME TAX TREATMENT OF THE OWNERSHIP AND DISPOSITION OF CLASS A ORDINARY SHARES TO ANY PARTICULAR HOLDER WILL DEPEND ON THE HOLDER’S PARTICULAR TAX CIRCUMSTANCES. EACH INVESTOR IN THE CLASS A ORDINARY SHARES IS URGED TO CONSULT ITS OWN TAX ADVISOR WITH RESPECT TO THE PARTICULAR TAX CONSEQUENCES TO SUCH INVESTOR OF THE ACQUISITION, OWNERSHIP AND DISPOSITION OF THE CLASS A ORDINARY SHARES, INCLUDING THE APPLICABILITY AND EFFECT OF ANY U.S. FEDERAL, STATE AND LOCAL, AND NON-U.S.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our Class A Ordinary Shares who or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U.S.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any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includible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U.S. Treasury regulations to be treated as a U.S.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Other Distributions on Our Class A Ordinary Shares </w:t>
      </w:r>
    </w:p>
    <w:p>
      <w:pPr>
        <w:pStyle w:val="TextBody"/>
        <w:bidi w:val="0"/>
        <w:spacing w:before="120" w:after="0"/>
        <w:jc w:val="left"/>
        <w:rPr>
          <w:rFonts w:ascii="Times New Roman" w:hAnsi="Times New Roman"/>
          <w:sz w:val="20"/>
        </w:rPr>
      </w:pPr>
      <w:r>
        <w:rPr>
          <w:rFonts w:ascii="Times New Roman" w:hAnsi="Times New Roman"/>
          <w:sz w:val="20"/>
        </w:rPr>
        <w:t>Subject to the PFIC rules discussed below under the heading “—</w:t>
      </w:r>
      <w:r>
        <w:rPr>
          <w:rFonts w:ascii="Times New Roman" w:hAnsi="Times New Roman"/>
          <w:i/>
          <w:sz w:val="20"/>
        </w:rPr>
        <w:t>Passive Foreign Investment Company Rules</w:t>
      </w:r>
      <w:r>
        <w:rPr>
          <w:rFonts w:ascii="Times New Roman" w:hAnsi="Times New Roman"/>
          <w:sz w:val="20"/>
        </w:rPr>
        <w:t xml:space="preserve">,”. The gross amount of distributions, i.e. before reduction for withholding taxes, if any, (other than certain distributions of our shares or rights to acquire our shares) on our Class A Ordinary Shares will generally be taxable as a dividend for U.S. federal income tax purposes to the extent paid from our current or accumulated earnings and profits, as determined under U.S. federal income tax principles. Such dividends generally will be includable in a U.S. Holder’s income in the year actually or constructively received by such U.S. Holder. Distributions in excess of our current and accumulated earnings and profits will constitute a return of capital that will be applied against and reduce (but not below zero) the U.S. Holder’s adjusted tax basis in its Class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Ordinary Shares. Any remaining excess will be treated as gain realized on the sale or other disposition of the Class A Ordinary Shares and will be treated as described below under the heading “—</w:t>
      </w:r>
      <w:r>
        <w:rPr>
          <w:rFonts w:ascii="Times New Roman" w:hAnsi="Times New Roman"/>
          <w:i/>
          <w:sz w:val="20"/>
        </w:rPr>
        <w:t>Gain or Loss on Sale, Taxable Exchange or Other Taxable Disposition of Our Class</w:t>
      </w:r>
      <w:r>
        <w:rPr>
          <w:rFonts w:ascii="Times New Roman" w:hAnsi="Times New Roman"/>
          <w:sz w:val="20"/>
        </w:rPr>
        <w:t> </w:t>
      </w:r>
      <w:r>
        <w:rPr>
          <w:rFonts w:ascii="Times New Roman" w:hAnsi="Times New Roman"/>
          <w:i/>
          <w:sz w:val="20"/>
        </w:rPr>
        <w:t>A Ordinary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Amounts treated as dividends that we pay to a U.S. Holder that is treated as a corporation for U.S. federal income tax purposes generally allowed to domestic corporations in respect of dividends received from other domestic corporations. With respect to non-corporate U.S. Holders, under tax laws currently in effect and subject to certain exceptions (including, but not limited to dibidends treated as investment income for purposes of investment interest deduction limitations), dividends generally will be taxed at the lower applicable long-term capital gains rate only if our Class A Ordinary Shares are readily tradable on an established securities market in the United States or we are eligible for benefits under an applicable tax treaty with the United States, and, in each case, we are not treated as a PFIC with respect to such U.S. Holder in the taxable year in which the dividend was paid or in the preceding year and provided certain holding period requirements are met. U.S. Holders should consult their tax advisors regarding the availability of such lower rate for any dividends paid with respect to our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Any amount treated as dividend income generally will be treated as foreign-source dividend income and generally will constitute “passive” category income for computing the foreign tax credit allowable to a U.S. Holder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or Loss on Sale, Taxable Exchange or Other Taxable Disposition of Our Class A Ordinary Shares </w:t>
      </w:r>
    </w:p>
    <w:p>
      <w:pPr>
        <w:pStyle w:val="TextBody"/>
        <w:bidi w:val="0"/>
        <w:spacing w:before="120" w:after="0"/>
        <w:jc w:val="left"/>
        <w:rPr>
          <w:rFonts w:ascii="Times New Roman" w:hAnsi="Times New Roman"/>
          <w:sz w:val="20"/>
        </w:rPr>
      </w:pPr>
      <w:r>
        <w:rPr>
          <w:rFonts w:ascii="Times New Roman" w:hAnsi="Times New Roman"/>
          <w:sz w:val="20"/>
        </w:rPr>
        <w:t>Subject to the PFIC rules discussed below under the heading “—</w:t>
      </w:r>
      <w:r>
        <w:rPr>
          <w:rFonts w:ascii="Times New Roman" w:hAnsi="Times New Roman"/>
          <w:i/>
          <w:sz w:val="20"/>
        </w:rPr>
        <w:t>Passive Foreign Investment Company Rules</w:t>
      </w:r>
      <w:r>
        <w:rPr>
          <w:rFonts w:ascii="Times New Roman" w:hAnsi="Times New Roman"/>
          <w:sz w:val="20"/>
        </w:rPr>
        <w:t xml:space="preserve">,” upon any sale, taxable exchange or other taxable disposition of our Class A Ordinary Shares, a U.S. Holder generally will recognize capital gain or loss in an amount equal to the difference between (i) the amount realized (i.e., sum of the amount of cash and the fair market value of any other property received in such) sale, taxable exchange or other taxable disposition, in each case before reduction for withholding taxes, if any) and (ii) the U.S. Holder’s adjusted tax basis in such Class A Ordinary Shares. Any such gain or loss generally will be capital gain or loss and will be long-term capital gain or loss if the U.S. Holder’s holding period for such Class A Ordinary Shares exceeds one year. Long-term capital gain realized by a non-corporate U.S. Holder will be taxable at a reduced rate. The deductibility of capital losses is subject to limitations. This gain or loss generally will be treated as U.S. source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The treatment of U.S. Holders of Class A Ordinary Shares could be materially different from that described above if we are treated as a PFIC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A foreign (i.e., non-U.S.) corporation will be classified as a passive foreign investment company (a “</w:t>
      </w:r>
      <w:r>
        <w:rPr>
          <w:rFonts w:ascii="Times New Roman" w:hAnsi="Times New Roman"/>
          <w:b/>
          <w:i/>
          <w:sz w:val="20"/>
        </w:rPr>
        <w:t>PFIC</w:t>
      </w:r>
      <w:r>
        <w:rPr>
          <w:rFonts w:ascii="Times New Roman" w:hAnsi="Times New Roman"/>
          <w:sz w:val="20"/>
        </w:rPr>
        <w:t xml:space="preserve">”)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w:t>
      </w:r>
    </w:p>
    <w:p>
      <w:pPr>
        <w:pStyle w:val="TextBody"/>
        <w:bidi w:val="0"/>
        <w:spacing w:before="240" w:after="0"/>
        <w:jc w:val="left"/>
        <w:rPr>
          <w:rFonts w:ascii="Times New Roman" w:hAnsi="Times New Roman"/>
          <w:sz w:val="20"/>
        </w:rPr>
      </w:pPr>
      <w:r>
        <w:rPr>
          <w:rFonts w:ascii="Times New Roman" w:hAnsi="Times New Roman"/>
          <w:sz w:val="20"/>
        </w:rPr>
        <w:t xml:space="preserve">We do not believe that we were a PFIC for U.S. federal income tax purposes for our most recently ended taxable year and we do not expect to become a PFIC in the foreseeable future. However, whether we are treated as a PFIC for U.S. federal income tax purposes for any taxable year is a factual determination that can only be made after the close of such taxable year and, thus, is subject to significant uncertainty and change. Accordingly, there can be no assurance with respect to our status as a PFIC for our current taxable year or any future taxable year. In addition, our U.S. counsel expresses no opinion with respect to our PFIC status for any taxable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our PFIC status is determined annually, a determination that we are a PFIC in a particular taxable year will generally apply for subsequent years to a U.S. Holder who held Class A Ordinary Shares while we were a PFIC, whether or not we meet the text for PFIC status in those subsequent years. </w:t>
      </w:r>
    </w:p>
    <w:p>
      <w:pPr>
        <w:pStyle w:val="TextBody"/>
        <w:bidi w:val="0"/>
        <w:spacing w:before="240" w:after="0"/>
        <w:jc w:val="left"/>
        <w:rPr>
          <w:rFonts w:ascii="Times New Roman" w:hAnsi="Times New Roman"/>
          <w:sz w:val="20"/>
        </w:rPr>
      </w:pPr>
      <w:r>
        <w:rPr>
          <w:rFonts w:ascii="Times New Roman" w:hAnsi="Times New Roman"/>
          <w:sz w:val="20"/>
        </w:rPr>
        <w:t>If we are determined to be a PFIC for any taxable year (or portion thereof) that is included in the holding period of a U.S. Holder of Class A Ordinary Shares and the U.S. Holder did not make either a qualified electing fund (“</w:t>
      </w:r>
      <w:r>
        <w:rPr>
          <w:rFonts w:ascii="Times New Roman" w:hAnsi="Times New Roman"/>
          <w:b/>
          <w:i/>
          <w:sz w:val="20"/>
        </w:rPr>
        <w:t>QEF</w:t>
      </w:r>
      <w:r>
        <w:rPr>
          <w:rFonts w:ascii="Times New Roman" w:hAnsi="Times New Roman"/>
          <w:sz w:val="20"/>
        </w:rPr>
        <w:t xml:space="preserve">”) election or mark-to-market election, as further discussed below, for the first taxable year in which we were treated as a PFIC and in which the U.S. Holder held (or was deemed to hold) Class A Ordinary Shares or otherwise, such U.S. Holder generally will be subject to special and adverse rules with respect to (i) any gain recognized by the U.S. Holder on the sale or other disposition of its Class A Ordinary Shares (which may include gain realized by reason of transfers of Class A Ordinary Shares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the portion of such U.S. Holder’s holding period for the Class A Ordinary Shares that preceded the taxable year of the distribution) (together, the “excess distribution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these excess distribution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gain or excess distribution will be allocated ratably over the U.S. Holder’s holding period for the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allocated to the U.S. Holder’s taxable year in which the U.S. Holder recognized the gain or received the excess distribution, or to the period in the U.S. Holder’s holding period before the first day of our first taxable year in which we are a PFIC, will be taxed as ordinary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allocated to each other taxable year (or portion thereof) of the U.S. Holder and included in its holding period will be taxed at the highest tax rate in effect for that year and applicable to the U.S.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tax equal to the interest charge generally applicable to underpayments of tax will be imposed on the U.S. Holder with respect to the tax attributable to each such other taxable year (or portion thereof) of such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if we are determined to be a PFIC, a U.S. Holder may be able to avoid the excess distribution rules described above in respect of our Class A Ordinary Shares by making and maintaining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makes a QEF election with respect to its Class A Ordinary Shares in a year after our first taxable year as a PFIC in which the U.S. Holder held (or was deemed to hold) Class A Ordinary Shares, then notwithstanding such QEF election, the excess distribution rules discussed above, adjusted to take into account the current income inclusions resulting from the QEF election, will continue to apply with respect to such U.S. Holder’s Class A Ordinary Shares, unless the U.S. Holder makes a purging election under the PFIC rules. Under one type of purging election, the U.S. Holder will be deemed to have sold such Class A Ordinary Shares at their fair market value and any gain recognized on such deemed sale will be treated as an excess distribution, as described above. As a result of such purging election, the U.S. Holder will have additional basis (to the extent of any gain recognized on the deemed sale) and, solely for purposes of the PFIC rules, a new holding period in the Class A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has made a QEF election with respect to their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Class A Ordinary Shares generally will be taxable as capital gain and no additional interest charge will be imposed under the PFIC rules. As discussed above, if we were a PFIC for any taxable year, a U.S. Holder of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were not a PFIC for any taxable year, such U.S. Holder will not be subject to the QEF inclusion regime with respect to its Class A Ordinary Shares for such a taxable year.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requirements of a QEF election, a U.S. Holder must receive a PFIC Annual Information Statement from us that provides the information necessary for U.S. Holders to make or maintain a QEF election. If we determine that we are a PFIC for any taxable year, upon written request, we will endeavor to provide to such requesting U.S. Holder a PFIC Annual Information Statement as may be required in order to enable the U.S. Holder to make and maintain a QEF election with respect to us, but there is no assurance that we will timely provide such required information. There is also no assurance that we will have timely knowledge of our status as a PFIC in any particular taxable year or of the required information to be provided.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we are a PFIC and our Class A Ordinary Shares constitute “marketable stock,” a U.S. Holder who owns (or is treated as owning for purposes of this rule) our shares at the close of its taxable year may avoid the application of the excess distribution rules discussed above if such U.S. Holder makes a “mark-to-market” election with respect to such shares for the first taxable year in which it holds (or is deemed to hold) Class A Ordinary Shares and for which we are determined to be a PFIC.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and any further loss recognized will be treated as ordinary loss (but only to the extent of the net amount of income previously included as a result of a mark-to-market election, and any loss in excess of such prior inclusions generally would be treated as capital loss). </w:t>
      </w:r>
    </w:p>
    <w:p>
      <w:pPr>
        <w:pStyle w:val="TextBody"/>
        <w:bidi w:val="0"/>
        <w:spacing w:before="240" w:after="0"/>
        <w:jc w:val="left"/>
        <w:rPr>
          <w:rFonts w:ascii="Times New Roman" w:hAnsi="Times New Roman"/>
          <w:sz w:val="20"/>
        </w:rPr>
      </w:pPr>
      <w:r>
        <w:rPr>
          <w:rFonts w:ascii="Times New Roman" w:hAnsi="Times New Roman"/>
          <w:sz w:val="20"/>
        </w:rPr>
        <w:t xml:space="preserve">The mark-to-market election is available only for “marketable stock,” generally, stock that is regularly traded on a national securities exchange that is registered with the Securities and Exchange Commission, including Nasdaq,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 A Ordinary Shares cease to qualify as “marketable stock” for purposes of the PFIC rules or the IRS consents to the revocation of the election. U.S. Holders are urged to consult their tax advisors regarding the availability and tax consequences of a mark-to-market election with respect to Class A Ordinary Shares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and, at any time, we have a foreign subsidiary that is classified as a PFIC, a U.S. Holder generally would be deemed to own a proportionate amount of the shares of such lower-tier PFIC, and generally could incur liability for the deferred tax and interest charge under the excess distribution rules described above if we receive a distribution from, or disposes of all or part of its interest in, the lower-tier PFIC, or the U.S. Holder otherwise was deemed to have disposed of an interest in the lower-tier PFIC. There can be no assurance that we will have timely knowledge of the status of any lower-tier PFIC or provide information that may be required for a U.S. Holder to make or maintain a QEF election with respect to such lower-tier PFIC. A mark-to-market election generally would not be available with respect to such lower-tier PFIC. U.S. Holders should consult their tax advisors regarding the tax considerations relevant to the deemed ownership of lower-tier PFICs.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The rules dealing with PFICs and with the QEF, purging and mark-to-market elections are very complex and are affected by various factors in addition to those described above. Accordingly, U.S. Holders of our Class A Ordinary Shares are urged to consult their own tax advisors concerning the application of the PFIC rules to our securities under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Asset Reporting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are required to report their holdings of certain specified foreign financial assets, including equity of foreign entities, if the aggregate value of all of these assets exceeds certain threshold amounts, by filing IRS Form 8938 with their U.S. federal income tax return. Our Class A Ordinary Shares are expected to constitute foreign financial assets subject to these requirements unless the Class A Ordinary Shares are held in an account maintained at certain financial institutions. Persons who are required to report specified foreign financial assets and fail to do so may be subject to substantial penalties, and the period of limitations on assessment and collection of U.S. federal income taxes may be extended in the event of a failure to comply. U.S. Holders are urged to consult their tax advisors regarding their information reporting obligations, if any, with respect to their ownership and disposition of our Class A Ordinary Shares and the significant penalties for non-compliance.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Dividend payments with respect to our Class A Ordinary Shares and proceeds from the sale or exchange of our Class A Ordinary Shares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a U.S. Holder’s U.S. federal income tax liability, and a U.S. Holder generally may obtain a refund of any excess amounts withheld under the backup withholding rules by timely filing the appropriate claim for refund with the IRS and furnishing any required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above description is not intended to constitute a complete analysis of all tax consequences relating to acquisition, ownership and disposition of our Class A Ordinary Shares. You should consult your tax advisor concerning the tax consequences of your particular situation.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55980_14"/>
      <w:bookmarkEnd w:id="17"/>
      <w:r>
        <w:rPr>
          <w:rFonts w:ascii="Times New Roman" w:hAnsi="Times New Roman"/>
          <w:b/>
          <w:sz w:val="20"/>
        </w:rPr>
        <w:t xml:space="preserve">MATERIAL CAYMAN ISLANDS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professional advisors on the possible tax consequences of buying, holding or selling any of our Class A Ordinary Shares under the laws of their country of citizenship, residence or domicile. </w:t>
      </w:r>
    </w:p>
    <w:p>
      <w:pPr>
        <w:pStyle w:val="TextBody"/>
        <w:bidi w:val="0"/>
        <w:spacing w:before="360" w:after="0"/>
        <w:jc w:val="left"/>
        <w:rPr>
          <w:rFonts w:ascii="Times New Roman" w:hAnsi="Times New Roman"/>
          <w:i/>
          <w:sz w:val="20"/>
        </w:rPr>
      </w:pPr>
      <w:r>
        <w:rPr>
          <w:rFonts w:ascii="Times New Roman" w:hAnsi="Times New Roman"/>
          <w:i/>
          <w:sz w:val="20"/>
        </w:rPr>
        <w:t xml:space="preserve">Cayman Islands Taxation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discussion on certain Cayman Islands income tax consequences of an investment in shares of a Cayman Islands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 On this basis, the following discussion is the opinion of Harney Westwood &amp; Riegels, counsel as to the Cayman Islands law. </w:t>
      </w:r>
    </w:p>
    <w:p>
      <w:pPr>
        <w:pStyle w:val="TextBody"/>
        <w:bidi w:val="0"/>
        <w:spacing w:before="360" w:after="0"/>
        <w:jc w:val="left"/>
        <w:rPr>
          <w:rFonts w:ascii="Times New Roman" w:hAnsi="Times New Roman"/>
          <w:i/>
          <w:sz w:val="20"/>
        </w:rPr>
      </w:pPr>
      <w:r>
        <w:rPr>
          <w:rFonts w:ascii="Times New Roman" w:hAnsi="Times New Roman"/>
          <w:i/>
          <w:sz w:val="20"/>
        </w:rPr>
        <w:t xml:space="preserve">Under Existing Cayman Islands Laws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and capital in respect of shares will not be subject to taxation in the Cayman Islands and no withholding will be required on the payment of interest and principal or a dividend or capital to any holder of shares, as the case may be, nor will gains derived from the disposal of our Class A Ordinary Shares be subject to Cayman Islands income or corporation tax. The Cayman Islands currently has no taxes on individuals or corporations based upon profits, income, gains or appreciations and there is no taxation in the nature of inheritance tax or estate duty. </w:t>
      </w:r>
    </w:p>
    <w:p>
      <w:pPr>
        <w:pStyle w:val="TextBody"/>
        <w:bidi w:val="0"/>
        <w:spacing w:before="240" w:after="0"/>
        <w:jc w:val="left"/>
        <w:rPr>
          <w:rFonts w:ascii="Times New Roman" w:hAnsi="Times New Roman"/>
          <w:sz w:val="20"/>
        </w:rPr>
      </w:pPr>
      <w:r>
        <w:rPr>
          <w:rFonts w:ascii="Times New Roman" w:hAnsi="Times New Roman"/>
          <w:sz w:val="20"/>
        </w:rPr>
        <w:t xml:space="preserve">No stamp duty is payable in the Cayman Islands on transfer of shares of Cayman Islands companies save for those which hold interests in land in the Cayman Islands. However, an instrument of transfer in respect of our securities, including our warrants, is stampable if executed in or brought into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Apollomics has been incorporated under the laws of the Cayman Islands as an exempted company with limited liability and, as such, has applied for and obtained an undertaking from the Financial Secretary of the Cayman Islands in the following form: </w:t>
      </w:r>
    </w:p>
    <w:p>
      <w:pPr>
        <w:pStyle w:val="TextBody"/>
        <w:bidi w:val="0"/>
        <w:spacing w:before="240" w:after="0"/>
        <w:jc w:val="center"/>
        <w:rPr>
          <w:rFonts w:ascii="Times New Roman" w:hAnsi="Times New Roman"/>
          <w:sz w:val="20"/>
        </w:rPr>
      </w:pPr>
      <w:r>
        <w:rPr>
          <w:rFonts w:ascii="Times New Roman" w:hAnsi="Times New Roman"/>
          <w:sz w:val="20"/>
        </w:rPr>
        <w:t xml:space="preserve">The Tax Concessions Law </w:t>
      </w:r>
    </w:p>
    <w:p>
      <w:pPr>
        <w:pStyle w:val="TextBody"/>
        <w:bidi w:val="0"/>
        <w:spacing w:before="0" w:after="0"/>
        <w:jc w:val="center"/>
        <w:rPr>
          <w:rFonts w:ascii="Times New Roman" w:hAnsi="Times New Roman"/>
          <w:sz w:val="20"/>
        </w:rPr>
      </w:pPr>
      <w:r>
        <w:rPr>
          <w:rFonts w:ascii="Times New Roman" w:hAnsi="Times New Roman"/>
          <w:sz w:val="20"/>
        </w:rPr>
        <w:t xml:space="preserve">Undertaking as to Tax Concessions </w:t>
      </w:r>
    </w:p>
    <w:p>
      <w:pPr>
        <w:pStyle w:val="TextBody"/>
        <w:bidi w:val="0"/>
        <w:spacing w:before="240" w:after="0"/>
        <w:jc w:val="left"/>
        <w:rPr>
          <w:rFonts w:ascii="Times New Roman" w:hAnsi="Times New Roman"/>
          <w:sz w:val="20"/>
        </w:rPr>
      </w:pPr>
      <w:r>
        <w:rPr>
          <w:rFonts w:ascii="Times New Roman" w:hAnsi="Times New Roman"/>
          <w:sz w:val="20"/>
        </w:rPr>
        <w:t>In accordance with the Tax Concessions Law the following undertaking is hereby given to Apollomics Inc. (the “</w:t>
      </w:r>
      <w:r>
        <w:rPr>
          <w:rFonts w:ascii="Times New Roman" w:hAnsi="Times New Roman"/>
          <w:b/>
          <w:i/>
          <w:sz w:val="20"/>
        </w:rPr>
        <w:t>Company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no Law which is hereafter enacted in the Islands imposing any tax to be levied on profits, income, gains or appreciations shall apply to the Company or its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that no tax to be levied on profits, income, gains or appreciations or which is in the nature of estate duty or inheritance tax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in respect of the shares, debentures or other obligations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way of the withholding in whole or part, of any relevant payment as defined in the Tax Concessions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concessions shall be for a period of twenty years from the date of the undertaking.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Cayman Islands enacted the International Tax Co-operation (Economic Substance) Act (As Revised) together with the Guidance Notes published by the Cayman Islands Tax Information Authority from time to time. If a company is considered to be a “relevant entity” and is conducting one or more of the nine “relevant activities”, then such company will be required to comply with the economic substance requirements in relation to the relevant activity from July 1, 2019. All companies whether a relevant entity or not is required to file an annual report with the Registrar of Companies of the Cayman Islands confirming whether or not it is carrying on any relevant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55980_15"/>
      <w:bookmarkEnd w:id="1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Class A Ordinary Shares offered by this prospectus and certain other Cayman Islands legal matters will be passed upon by Carey Olsen. Certain legal matters relating to PRC law will be passed upon by JunHe LLP. Additional legal matters may be passed upon for us,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9" w:name="toc55980_16"/>
      <w:bookmarkEnd w:id="1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The audited financial statements as of December 31, 2024 and for each of the two years then ended incorporated by reference in this prospectus and elsewhere in the registration statement have been so incorporated by reference in reliance upon the report of Grant Thornton LLP (“</w:t>
      </w:r>
      <w:r>
        <w:rPr>
          <w:rFonts w:ascii="Times New Roman" w:hAnsi="Times New Roman"/>
          <w:b/>
          <w:i/>
          <w:sz w:val="20"/>
        </w:rPr>
        <w:t>Grant Thornton</w:t>
      </w:r>
      <w:r>
        <w:rPr>
          <w:rFonts w:ascii="Times New Roman" w:hAnsi="Times New Roman"/>
          <w:sz w:val="20"/>
        </w:rPr>
        <w:t xml:space="preserve">”), independent registered public accountants,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The audited financial statements for the year ended December 31, 2025 incorporated by reference in this prospectus and elsewhere in the registration statement have been so incorporated by reference in reliance upon the report of Marcum Asia CPAs LLP (“</w:t>
      </w:r>
      <w:r>
        <w:rPr>
          <w:rFonts w:ascii="Times New Roman" w:hAnsi="Times New Roman"/>
          <w:b/>
          <w:i/>
          <w:sz w:val="20"/>
        </w:rPr>
        <w:t>Marcum Asia</w:t>
      </w:r>
      <w:r>
        <w:rPr>
          <w:rFonts w:ascii="Times New Roman" w:hAnsi="Times New Roman"/>
          <w:sz w:val="20"/>
        </w:rPr>
        <w:t xml:space="preserve">”), independent registered public accountants, which contains an explanatory paragraph relating to substantial doubt about the ability of Apollomics Inc. to continue as a going concern, as described in Note 2 to the consolidated financial statements and are included in reliance upon such report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55980_17"/>
      <w:bookmarkEnd w:id="20"/>
      <w:r>
        <w:rPr>
          <w:rFonts w:ascii="Times New Roman" w:hAnsi="Times New Roman"/>
          <w:b/>
          <w:sz w:val="20"/>
        </w:rPr>
        <w:t xml:space="preserve">ENFORCEABILITY OF CIVIL LIABILITIES UNDER U.S.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incorporated in the Cayman Islands with its headquarters in the United States. We conduct our operations through Apollomics US, our headquarters based in California, U.S., as well as Crownmab, our wholly-owned subsidiary in the PRC. </w:t>
      </w:r>
    </w:p>
    <w:p>
      <w:pPr>
        <w:pStyle w:val="TextBody"/>
        <w:bidi w:val="0"/>
        <w:spacing w:before="240" w:after="0"/>
        <w:jc w:val="left"/>
        <w:rPr>
          <w:rFonts w:ascii="Times New Roman" w:hAnsi="Times New Roman"/>
          <w:sz w:val="20"/>
        </w:rPr>
      </w:pPr>
      <w:r>
        <w:rPr>
          <w:rFonts w:ascii="Times New Roman" w:hAnsi="Times New Roman"/>
          <w:sz w:val="20"/>
        </w:rPr>
        <w:t xml:space="preserve">Apollomics US, a California corporation and our wholly-owned subsidiary, serves as our agent to receive service of process in any action against us in any U.S. federal or state court arising out of the transactions described in this prospectus. The address of Apollomics U.S. is 989 East Hillsdale Blvd., Ste 220, Foster City, CA 94404 USA.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its Cayman Islands legal counsel that although there is no statutory enforcement in the Cayman Islands of judgments obtained in the federal or state courts of the United States (and the Cayman Islands are not a party to any treaties for the reciprocal enforcement or recognition of such judgments), the Grand Court of the Cayman Islands will at common law enforce final and conclusive in personam judgments of state and/or federal courts of the United States of America (the “Foreign Court”) of a debt or definite sum of money against the Company (other than a sum of money payable in respect of taxes or other charges of a like nature, a fine or other penalty (which may include a multiple damages judgment in an anti-trust action) or where enforcement would be contrary to public policy). The Grand Court of the Cayman Islands will also at common law enforce final and conclusive in personam judgments of the Foreign Court that are non-monetary against the Company, for example, declaratory judgments ruling upon the true legal owner of shares in a Cayman Islands company. The Grand Court of the Cayman Islands will exercise its discretion in the enforcement of non-money judgments by having regard to the circumstances, such as considering whether the principles of comity apply. To be treated as final and conclusive, any relevant judgment must be regarded as res judicata by the Foreign Court. A debt claim on a foreign judgment must be brought within six years of the date of the judgment, and arrears of interest on a judgment debt cannot be recovered after six years from the date on which the interest was due. The Cayman Islands courts are unlikely to enforce a judgment obtained from the Foreign Court under civil liability provisions of U.S. federal securities law if such a judgment is found by the courts of the Cayman Islands to give rise to obligations to make payments that are penal or punitive in nature. Such a determination has not yet been made by the Grand Court of the Cayman Islands. A Cayman Islands court may stay enforcement proceedings if concurrent proceedings are being brought elsewhere. A judgment entered in default of appearance by a defendant who has had notice of the Foreign Court’s intention to proceed may be final and conclusive notwithstanding that the Foreign Court has power to set aside its own judgment and despite the fact that it may be subject to an appeal the time-limit for which has not yet expired. The Grand Court of the Cayman Islands may safeguard the defendant’s rights by granting a stay of execution pending any such appeal and may also grant interim injunctive relief as appropriate for the purpose of enforcement.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been advised by our PRC legal counsel, JunHe LLP, according to its interpretation of the currently in-effect PRC laws and regulations, that the recognition and enforcement of foreign judgments are basically provided for under the PRC Civil Procedures Law. PRC courts may recognize and enforce foreign judgments in accordance with the requirements, public policy considerations and conditions set forth in applicable provisions of PRC laws relating to the enforcement of civil liability, including the PRC Civil Procedures Law, based either on treaties between the PRC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a PRC court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U.S. based upon the civil liability provisions of the U.S. federal securities laws. Further, pursuant to the Civil Procedures Law of the PRC, any matter, including matters arising under U.S. federal securities laws, in relation to assets or personal relationships may be brought as an original action in China only if the institution of such action satisfies the conditions specified in the Civil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Procedures Law of the PRC. As a result of the conditions set forth in the Civil Procedures Law and the discretion that PRC courts have in determining whether the conditions are satisfied and whether to accept the action for adjudication, there remains uncertainty as to whether an investor will be able to bring an original action in a PRC court based on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been advised by our PRC legal counsel, JunHe LLP, according to its interpretation of the currently in-effect PRC laws and regulations, that it is uncertain (i) whether and on what basis a PRC court would enforce judgment rendered by a court in the U.S. based upon the civil liability provisions of U.S. federal securities laws; and (ii) whether an investor will be able to bring an original action in a PRC court based on U.S. federal securities laws. As such, you may not be able to or may experience difficulties or incur additional costs in order to enforce judgments obtained in U.S. courts based upon the civil liability provisions of U.S. federal securities laws in China or bring original actions in China based on U.S. federal securities laws. Similarly, service of process upon Hong Kong-based entities or individuals may be difficult to obtain within the United States. There is also uncertainty as to whether the courts of Hong Kong would (i) recognize or enforce judgments of U.S. courts obtained against these Hong Kong-based entities or individuals predicated upon the civil liability provisions of the securities laws of the United States or any state in the United States or (ii) entertain original actions brought in Hong Kong against these Hong Kong-based entities or individuals predicated upon the securities laws of the United States or any state in the United States. 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 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 </w:t>
      </w:r>
    </w:p>
    <w:p>
      <w:pPr>
        <w:pStyle w:val="TextBody"/>
        <w:bidi w:val="0"/>
        <w:spacing w:before="480" w:after="0"/>
        <w:jc w:val="center"/>
        <w:rPr>
          <w:rFonts w:ascii="Times New Roman" w:hAnsi="Times New Roman"/>
          <w:b/>
          <w:sz w:val="20"/>
        </w:rPr>
      </w:pPr>
      <w:bookmarkStart w:id="21" w:name="toc55980_18"/>
      <w:bookmarkEnd w:id="21"/>
      <w:r>
        <w:rPr>
          <w:rFonts w:ascii="Times New Roman" w:hAnsi="Times New Roman"/>
          <w:b/>
          <w:sz w:val="20"/>
        </w:rPr>
        <w:t xml:space="preserve">AUTHORIZED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representative in the United States for this offering as required pursuant to Section 6(a) of the Securities Act is Peter Lin, our Chief Financial Officer, 989 E. Hillsdale Blvd., Suite 220, Foster City, CA 94404.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40"/>
        </w:rPr>
      </w:pPr>
      <w:r>
        <w:rPr>
          <w:rFonts w:ascii="Times New Roman" w:hAnsi="Times New Roman"/>
          <w:b/>
          <w:sz w:val="40"/>
        </w:rPr>
        <w:t xml:space="preserve">APOLLOMICS INC.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76475" cy="8839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2276475" cy="883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rFonts w:ascii="Times New Roman" w:hAnsi="Times New Roman"/>
          <w:b/>
          <w:sz w:val="20"/>
        </w:rPr>
      </w:pPr>
      <w:r>
        <w:rPr>
          <w:rFonts w:ascii="Times New Roman" w:hAnsi="Times New Roman"/>
          <w:b/>
          <w:sz w:val="20"/>
        </w:rPr>
        <w:t xml:space="preserve">DATED     , 2026 </w:t>
      </w:r>
    </w:p>
    <w:p>
      <w:pPr>
        <w:pStyle w:val="TextBody"/>
        <w:bidi w:val="0"/>
        <w:spacing w:before="0" w:after="0"/>
        <w:jc w:val="left"/>
        <w:rPr/>
      </w:pPr>
      <w:r>
        <w:rPr/>
        <w:t> </w:t>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Offering Expenses </w:t>
      </w:r>
    </w:p>
    <w:p>
      <w:pPr>
        <w:pStyle w:val="TextBody"/>
        <w:bidi w:val="0"/>
        <w:spacing w:before="120" w:after="0"/>
        <w:jc w:val="left"/>
        <w:rPr>
          <w:rFonts w:ascii="Times New Roman" w:hAnsi="Times New Roman"/>
          <w:sz w:val="20"/>
        </w:rPr>
      </w:pPr>
      <w:r>
        <w:rPr>
          <w:rFonts w:ascii="Times New Roman" w:hAnsi="Times New Roman"/>
          <w:sz w:val="20"/>
        </w:rPr>
        <w:t xml:space="preserve">We estimate the following expenses in connection with the offer and sale of our Class A Ordinary Shares under this registration statement. With the exception of the SEC Registration Fee, all amounts are estimates.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39"/>
        <w:gridCol w:w="469"/>
        <w:gridCol w:w="140"/>
        <w:gridCol w:w="387"/>
        <w:gridCol w:w="204"/>
      </w:tblGrid>
      <w:tr>
        <w:trPr/>
        <w:tc>
          <w:tcPr>
            <w:tcW w:w="5739" w:type="dxa"/>
            <w:tcBorders/>
            <w:vAlign w:val="center"/>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7" w:type="dxa"/>
            <w:tcBorders/>
            <w:shd w:fill="CCEEFF" w:val="clear"/>
            <w:vAlign w:val="bottom"/>
          </w:tcPr>
          <w:p>
            <w:pPr>
              <w:pStyle w:val="TableContents"/>
              <w:bidi w:val="0"/>
              <w:spacing w:before="0" w:after="283"/>
              <w:jc w:val="right"/>
              <w:rPr/>
            </w:pPr>
            <w:r>
              <w:rPr/>
              <w:t>774</w:t>
            </w:r>
          </w:p>
        </w:tc>
        <w:tc>
          <w:tcPr>
            <w:tcW w:w="204" w:type="dxa"/>
            <w:tcBorders/>
            <w:shd w:fill="CCEEFF" w:val="clear"/>
            <w:vAlign w:val="bottom"/>
          </w:tcPr>
          <w:p>
            <w:pPr>
              <w:pStyle w:val="TableContents"/>
              <w:bidi w:val="0"/>
              <w:spacing w:before="0" w:after="283"/>
              <w:jc w:val="left"/>
              <w:rPr/>
            </w:pPr>
            <w:r>
              <w:rPr/>
              <w:t> </w:t>
            </w:r>
          </w:p>
        </w:tc>
      </w:tr>
      <w:tr>
        <w:trPr/>
        <w:tc>
          <w:tcPr>
            <w:tcW w:w="5739"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5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w:t>
            </w:r>
          </w:p>
        </w:tc>
        <w:tc>
          <w:tcPr>
            <w:tcW w:w="4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5739" w:type="dxa"/>
            <w:tcBorders/>
          </w:tcPr>
          <w:p>
            <w:pPr>
              <w:pStyle w:val="TableContents"/>
              <w:bidi w:val="0"/>
              <w:spacing w:before="0" w:after="0"/>
              <w:jc w:val="left"/>
              <w:rPr>
                <w:rFonts w:ascii="Times New Roman" w:hAnsi="Times New Roman"/>
                <w:sz w:val="20"/>
              </w:rPr>
            </w:pPr>
            <w:r>
              <w:rPr>
                <w:rFonts w:ascii="Times New Roman" w:hAnsi="Times New Roman"/>
                <w:sz w:val="20"/>
              </w:rPr>
              <w:t>Accountants’ fees and expenses</w:t>
            </w:r>
          </w:p>
        </w:tc>
        <w:tc>
          <w:tcPr>
            <w:tcW w:w="4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5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5739"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fees and expenses</w:t>
            </w:r>
          </w:p>
        </w:tc>
        <w:tc>
          <w:tcPr>
            <w:tcW w:w="4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5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and States Taxes and Fees</w:t>
            </w:r>
          </w:p>
        </w:tc>
        <w:tc>
          <w:tcPr>
            <w:tcW w:w="4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5739"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57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defined at this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agreements to which we are party with the Selling Securityholders, we have agreed to bear all expenses relating to the registration of the resale of the securities pursuant to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Item 8. Indemnification of Directors, Officers and Employees </w:t>
      </w:r>
    </w:p>
    <w:p>
      <w:pPr>
        <w:pStyle w:val="TextBody"/>
        <w:bidi w:val="0"/>
        <w:spacing w:before="120" w:after="0"/>
        <w:jc w:val="left"/>
        <w:rPr>
          <w:rFonts w:ascii="Times New Roman" w:hAnsi="Times New Roman"/>
          <w:sz w:val="20"/>
        </w:rPr>
      </w:pPr>
      <w:r>
        <w:rPr>
          <w:rFonts w:ascii="Times New Roman" w:hAnsi="Times New Roman"/>
          <w:sz w:val="20"/>
        </w:rPr>
        <w:t xml:space="preserve">The laws of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w:t>
      </w:r>
    </w:p>
    <w:p>
      <w:pPr>
        <w:pStyle w:val="TextBody"/>
        <w:bidi w:val="0"/>
        <w:spacing w:before="240" w:after="0"/>
        <w:jc w:val="left"/>
        <w:rPr>
          <w:rFonts w:ascii="Times New Roman" w:hAnsi="Times New Roman"/>
          <w:sz w:val="20"/>
        </w:rPr>
      </w:pPr>
      <w:r>
        <w:rPr>
          <w:rFonts w:ascii="Times New Roman" w:hAnsi="Times New Roman"/>
          <w:sz w:val="20"/>
        </w:rPr>
        <w:t xml:space="preserve">The MAA provides that we shall indemnify our directors and officers to the maximum extent permitted by law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and none of them shall be answerable for the acts, receipts, neglects or defaults of the other or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said persons.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9.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
        <w:gridCol w:w="419"/>
        <w:gridCol w:w="9099"/>
      </w:tblGrid>
      <w:tr>
        <w:trPr/>
        <w:tc>
          <w:tcPr>
            <w:tcW w:w="687"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9099" w:type="dxa"/>
            <w:tcBorders/>
            <w:vAlign w:val="center"/>
          </w:tcPr>
          <w:p>
            <w:pPr>
              <w:pStyle w:val="TableContents"/>
              <w:bidi w:val="0"/>
              <w:spacing w:before="0" w:after="283"/>
              <w:jc w:val="left"/>
              <w:rPr>
                <w:sz w:val="4"/>
                <w:szCs w:val="4"/>
              </w:rPr>
            </w:pPr>
            <w:r>
              <w:rPr>
                <w:sz w:val="4"/>
                <w:szCs w:val="4"/>
              </w:rPr>
            </w:r>
          </w:p>
        </w:tc>
      </w:tr>
      <w:tr>
        <w:trPr/>
        <w:tc>
          <w:tcPr>
            <w:tcW w:w="68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419" w:type="dxa"/>
            <w:tcBorders/>
            <w:vAlign w:val="bottom"/>
          </w:tcPr>
          <w:p>
            <w:pPr>
              <w:pStyle w:val="TableContents"/>
              <w:bidi w:val="0"/>
              <w:spacing w:before="0" w:after="283"/>
              <w:jc w:val="left"/>
              <w:rPr/>
            </w:pPr>
            <w:r>
              <w:rPr/>
              <w:t>  </w:t>
            </w:r>
          </w:p>
        </w:tc>
        <w:tc>
          <w:tcPr>
            <w:tcW w:w="909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b/>
              </w:rPr>
              <w:t>3.1</w:t>
            </w:r>
          </w:p>
        </w:tc>
        <w:tc>
          <w:tcPr>
            <w:tcW w:w="419" w:type="dxa"/>
            <w:tcBorders/>
            <w:vAlign w:val="bottom"/>
          </w:tcPr>
          <w:p>
            <w:pPr>
              <w:pStyle w:val="TableContents"/>
              <w:bidi w:val="0"/>
              <w:spacing w:before="0" w:after="283"/>
              <w:jc w:val="left"/>
              <w:rPr/>
            </w:pPr>
            <w:r>
              <w:rPr/>
              <w:t>  </w:t>
            </w:r>
          </w:p>
        </w:tc>
        <w:tc>
          <w:tcPr>
            <w:tcW w:w="9099" w:type="dxa"/>
            <w:tcBorders/>
          </w:tcPr>
          <w:p>
            <w:pPr>
              <w:pStyle w:val="TableContents"/>
              <w:bidi w:val="0"/>
              <w:spacing w:before="0" w:after="283"/>
              <w:jc w:val="left"/>
              <w:rPr/>
            </w:pPr>
            <w:hyperlink r:id="rId8">
              <w:r>
                <w:rPr>
                  <w:rStyle w:val="InternetLink"/>
                </w:rPr>
                <w:t>Sixth Amended and Restated Articles of Association of Apollomics Inc. (incorporated by reference to Exhibit 1.1. to the Company’s Form 20-F (File No. 001-41670) filed with the SEC on March 31, 2023).</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b/>
              </w:rPr>
              <w:t>4.1</w:t>
            </w:r>
          </w:p>
        </w:tc>
        <w:tc>
          <w:tcPr>
            <w:tcW w:w="419" w:type="dxa"/>
            <w:tcBorders/>
            <w:vAlign w:val="bottom"/>
          </w:tcPr>
          <w:p>
            <w:pPr>
              <w:pStyle w:val="TableContents"/>
              <w:bidi w:val="0"/>
              <w:spacing w:before="0" w:after="283"/>
              <w:jc w:val="left"/>
              <w:rPr/>
            </w:pPr>
            <w:r>
              <w:rPr/>
              <w:t>  </w:t>
            </w:r>
          </w:p>
        </w:tc>
        <w:tc>
          <w:tcPr>
            <w:tcW w:w="9099" w:type="dxa"/>
            <w:tcBorders/>
          </w:tcPr>
          <w:p>
            <w:pPr>
              <w:pStyle w:val="TableContents"/>
              <w:bidi w:val="0"/>
              <w:spacing w:before="0" w:after="283"/>
              <w:jc w:val="left"/>
              <w:rPr/>
            </w:pPr>
            <w:hyperlink r:id="rId9">
              <w:r>
                <w:rPr>
                  <w:rStyle w:val="InternetLink"/>
                </w:rPr>
                <w:t>Specimen Ordinary Share Certificate of Apollomics Inc. (incorporated by reference to Exhibit 4.5 to the Company’s Registration Statement on Form F-4 (File No. 333-268525) filed with the SEC on February 21, 2023).</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b/>
              </w:rPr>
              <w:t>4.6</w:t>
            </w:r>
          </w:p>
        </w:tc>
        <w:tc>
          <w:tcPr>
            <w:tcW w:w="419" w:type="dxa"/>
            <w:tcBorders/>
            <w:vAlign w:val="bottom"/>
          </w:tcPr>
          <w:p>
            <w:pPr>
              <w:pStyle w:val="TableContents"/>
              <w:bidi w:val="0"/>
              <w:spacing w:before="0" w:after="283"/>
              <w:jc w:val="left"/>
              <w:rPr/>
            </w:pPr>
            <w:r>
              <w:rPr/>
              <w:t>  </w:t>
            </w:r>
          </w:p>
        </w:tc>
        <w:tc>
          <w:tcPr>
            <w:tcW w:w="9099" w:type="dxa"/>
            <w:tcBorders/>
          </w:tcPr>
          <w:p>
            <w:pPr>
              <w:pStyle w:val="TableContents"/>
              <w:bidi w:val="0"/>
              <w:spacing w:before="0" w:after="283"/>
              <w:jc w:val="left"/>
              <w:rPr/>
            </w:pPr>
            <w:hyperlink r:id="rId10">
              <w:r>
                <w:rPr>
                  <w:rStyle w:val="InternetLink"/>
                </w:rPr>
                <w:t>Form of PIPE Subscription Agreement, dated as of September  2, 2025, by and between Apollomics Inc. and the Subscriber party thereto (incorporated by reference to Exhibit 10.1 to the Company’s Form 6-K (File No.  001-41670) filed with the SEC on September 3, 2025).</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b/>
              </w:rPr>
              <w:t>5.1</w:t>
            </w:r>
          </w:p>
        </w:tc>
        <w:tc>
          <w:tcPr>
            <w:tcW w:w="419" w:type="dxa"/>
            <w:tcBorders/>
            <w:vAlign w:val="bottom"/>
          </w:tcPr>
          <w:p>
            <w:pPr>
              <w:pStyle w:val="TableContents"/>
              <w:bidi w:val="0"/>
              <w:spacing w:before="0" w:after="283"/>
              <w:jc w:val="left"/>
              <w:rPr/>
            </w:pPr>
            <w:r>
              <w:rPr/>
              <w:t>  </w:t>
            </w:r>
          </w:p>
        </w:tc>
        <w:tc>
          <w:tcPr>
            <w:tcW w:w="9099" w:type="dxa"/>
            <w:tcBorders/>
          </w:tcPr>
          <w:p>
            <w:pPr>
              <w:pStyle w:val="TableContents"/>
              <w:bidi w:val="0"/>
              <w:spacing w:before="0" w:after="283"/>
              <w:jc w:val="left"/>
              <w:rPr/>
            </w:pPr>
            <w:hyperlink r:id="rId11">
              <w:r>
                <w:rPr>
                  <w:rStyle w:val="InternetLink"/>
                </w:rPr>
                <w:t xml:space="preserve">Opinion of Carey Olsen Singapore LLP as to the validity of the Apollomics Class A Ordinary Shares (incorporated by reference to Exhibit  5.1 to the Company’s Form F-3 (333-294154) filed with the SEC on March 9, 2026).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b/>
              </w:rPr>
              <w:t>23.1*</w:t>
            </w:r>
          </w:p>
        </w:tc>
        <w:tc>
          <w:tcPr>
            <w:tcW w:w="419" w:type="dxa"/>
            <w:tcBorders/>
            <w:vAlign w:val="bottom"/>
          </w:tcPr>
          <w:p>
            <w:pPr>
              <w:pStyle w:val="TableContents"/>
              <w:bidi w:val="0"/>
              <w:spacing w:before="0" w:after="283"/>
              <w:jc w:val="left"/>
              <w:rPr/>
            </w:pPr>
            <w:r>
              <w:rPr/>
              <w:t>  </w:t>
            </w:r>
          </w:p>
        </w:tc>
        <w:tc>
          <w:tcPr>
            <w:tcW w:w="9099" w:type="dxa"/>
            <w:tcBorders/>
          </w:tcPr>
          <w:p>
            <w:pPr>
              <w:pStyle w:val="TableContents"/>
              <w:bidi w:val="0"/>
              <w:spacing w:before="0" w:after="283"/>
              <w:jc w:val="left"/>
              <w:rPr/>
            </w:pPr>
            <w:hyperlink w:anchor="d55980dex231.htm">
              <w:r>
                <w:rPr>
                  <w:rStyle w:val="InternetLink"/>
                </w:rPr>
                <w:t xml:space="preserve">Consent of Marcum Asia CPAs LLP.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b/>
              </w:rPr>
              <w:t>23.2*</w:t>
            </w:r>
          </w:p>
        </w:tc>
        <w:tc>
          <w:tcPr>
            <w:tcW w:w="419" w:type="dxa"/>
            <w:tcBorders/>
            <w:vAlign w:val="bottom"/>
          </w:tcPr>
          <w:p>
            <w:pPr>
              <w:pStyle w:val="TableContents"/>
              <w:bidi w:val="0"/>
              <w:spacing w:before="0" w:after="283"/>
              <w:jc w:val="left"/>
              <w:rPr/>
            </w:pPr>
            <w:r>
              <w:rPr/>
              <w:t>  </w:t>
            </w:r>
          </w:p>
        </w:tc>
        <w:tc>
          <w:tcPr>
            <w:tcW w:w="9099" w:type="dxa"/>
            <w:tcBorders/>
          </w:tcPr>
          <w:p>
            <w:pPr>
              <w:pStyle w:val="TableContents"/>
              <w:bidi w:val="0"/>
              <w:spacing w:before="0" w:after="283"/>
              <w:jc w:val="left"/>
              <w:rPr/>
            </w:pPr>
            <w:hyperlink w:anchor="d55980dex232.htm">
              <w:r>
                <w:rPr>
                  <w:rStyle w:val="InternetLink"/>
                </w:rPr>
                <w:t xml:space="preserve">Consent of Grant Thornton LLP.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b/>
              </w:rPr>
              <w:t>23.3</w:t>
            </w:r>
          </w:p>
        </w:tc>
        <w:tc>
          <w:tcPr>
            <w:tcW w:w="419" w:type="dxa"/>
            <w:tcBorders/>
            <w:vAlign w:val="bottom"/>
          </w:tcPr>
          <w:p>
            <w:pPr>
              <w:pStyle w:val="TableContents"/>
              <w:bidi w:val="0"/>
              <w:spacing w:before="0" w:after="283"/>
              <w:jc w:val="left"/>
              <w:rPr/>
            </w:pPr>
            <w:r>
              <w:rPr/>
              <w:t>  </w:t>
            </w:r>
          </w:p>
        </w:tc>
        <w:tc>
          <w:tcPr>
            <w:tcW w:w="9099" w:type="dxa"/>
            <w:tcBorders/>
          </w:tcPr>
          <w:p>
            <w:pPr>
              <w:pStyle w:val="TableContents"/>
              <w:bidi w:val="0"/>
              <w:spacing w:before="0" w:after="283"/>
              <w:jc w:val="left"/>
              <w:rPr/>
            </w:pPr>
            <w:hyperlink r:id="rId12">
              <w:r>
                <w:rPr>
                  <w:rStyle w:val="InternetLink"/>
                </w:rPr>
                <w:t xml:space="preserve">Consent of Carey Olsen Singapore LLP (included in Exhibit 5.1). </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b/>
              </w:rPr>
              <w:t>24.1</w:t>
            </w:r>
          </w:p>
        </w:tc>
        <w:tc>
          <w:tcPr>
            <w:tcW w:w="419" w:type="dxa"/>
            <w:tcBorders/>
            <w:vAlign w:val="bottom"/>
          </w:tcPr>
          <w:p>
            <w:pPr>
              <w:pStyle w:val="TableContents"/>
              <w:bidi w:val="0"/>
              <w:spacing w:before="0" w:after="283"/>
              <w:jc w:val="left"/>
              <w:rPr/>
            </w:pPr>
            <w:r>
              <w:rPr/>
              <w:t>  </w:t>
            </w:r>
          </w:p>
        </w:tc>
        <w:tc>
          <w:tcPr>
            <w:tcW w:w="9099" w:type="dxa"/>
            <w:tcBorders/>
          </w:tcPr>
          <w:p>
            <w:pPr>
              <w:pStyle w:val="TableContents"/>
              <w:bidi w:val="0"/>
              <w:spacing w:before="0" w:after="283"/>
              <w:jc w:val="left"/>
              <w:rPr/>
            </w:pPr>
            <w:r>
              <w:fldChar w:fldCharType="begin"/>
            </w:r>
            <w:r>
              <w:rPr>
                <w:rStyle w:val="InternetLink"/>
              </w:rPr>
              <w:instrText xml:space="preserve"> HYPERLINK "http://www.sec.gov/Archives/edgar/data/1944885/000119312526098822/d55980df3.htm" \l "sig"</w:instrText>
            </w:r>
            <w:r>
              <w:rPr>
                <w:rStyle w:val="InternetLink"/>
              </w:rPr>
              <w:fldChar w:fldCharType="separate"/>
            </w:r>
            <w:r>
              <w:rPr>
                <w:rStyle w:val="InternetLink"/>
              </w:rPr>
              <w:t xml:space="preserve">Power of Attorney (included on the signature page to the initial filing of the registration statement). </w:t>
            </w:r>
            <w:r>
              <w:rPr>
                <w:rStyle w:val="InternetLink"/>
              </w:rPr>
              <w:fldChar w:fldCharType="end"/>
            </w:r>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b/>
              </w:rPr>
              <w:t>107</w:t>
            </w:r>
          </w:p>
        </w:tc>
        <w:tc>
          <w:tcPr>
            <w:tcW w:w="419" w:type="dxa"/>
            <w:tcBorders/>
            <w:vAlign w:val="bottom"/>
          </w:tcPr>
          <w:p>
            <w:pPr>
              <w:pStyle w:val="TableContents"/>
              <w:bidi w:val="0"/>
              <w:spacing w:before="0" w:after="283"/>
              <w:jc w:val="left"/>
              <w:rPr/>
            </w:pPr>
            <w:r>
              <w:rPr/>
              <w:t>  </w:t>
            </w:r>
          </w:p>
        </w:tc>
        <w:tc>
          <w:tcPr>
            <w:tcW w:w="9099" w:type="dxa"/>
            <w:tcBorders/>
          </w:tcPr>
          <w:p>
            <w:pPr>
              <w:pStyle w:val="TableContents"/>
              <w:bidi w:val="0"/>
              <w:spacing w:before="0" w:after="283"/>
              <w:jc w:val="left"/>
              <w:rPr/>
            </w:pPr>
            <w:hyperlink r:id="rId13">
              <w:r>
                <w:rPr>
                  <w:rStyle w:val="InternetLink"/>
                </w:rPr>
                <w:t xml:space="preserve">Filing Fee Table (incorporated by reference to Exhibit  107 to the Company’s Form F-3 (333-294154) filed with the SEC on March 9,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10. Undertakings </w:t>
      </w:r>
    </w:p>
    <w:p>
      <w:pPr>
        <w:pStyle w:val="TextBody"/>
        <w:bidi w:val="0"/>
        <w:spacing w:before="120" w:after="0"/>
        <w:jc w:val="left"/>
        <w:rPr>
          <w:rFonts w:ascii="Times New Roman" w:hAnsi="Times New Roman"/>
          <w:sz w:val="20"/>
        </w:rPr>
      </w:pPr>
      <w:r>
        <w:rPr>
          <w:rFonts w:ascii="Times New Roman" w:hAnsi="Times New Roman"/>
          <w:sz w:val="20"/>
        </w:rPr>
        <w:t xml:space="preserve">(1)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(a)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That, for the purpose of determining any liability under the Securities Act of 1933, each such post- effective amendment shall be deemed to be a new registration statement relating to the securities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(c)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(d) To file a post-effective amendment to the registration statement to include any financial statements required by Item 8.A of Form 20-F (§ 249.220f of this chapter) at the start of any delayed offering or throughout a continuous offering. Financial statements and information otherwise required by Section 10(a)(3) of the Act (15 U.S.C. 77j(a)(3))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 </w:t>
      </w:r>
    </w:p>
    <w:p>
      <w:pPr>
        <w:pStyle w:val="TextBody"/>
        <w:bidi w:val="0"/>
        <w:spacing w:before="120" w:after="0"/>
        <w:jc w:val="left"/>
        <w:rPr>
          <w:rFonts w:ascii="Times New Roman" w:hAnsi="Times New Roman"/>
          <w:sz w:val="20"/>
        </w:rPr>
      </w:pPr>
      <w:r>
        <w:rPr>
          <w:rFonts w:ascii="Times New Roman" w:hAnsi="Times New Roman"/>
          <w:sz w:val="20"/>
        </w:rPr>
        <w:t xml:space="preserve">(e)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(f)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Any other communications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(4) The undersigned registrant hereby undertakes 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(5) The undersigned registrant hereby undertakes 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55980_19"/>
      <w:bookmarkStart w:id="23" w:name="sig"/>
      <w:bookmarkEnd w:id="22"/>
      <w:bookmarkEnd w:id="23"/>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bookmarkStart w:id="24" w:name="toc55980_20"/>
      <w:bookmarkEnd w:id="24"/>
      <w:r>
        <w:rPr>
          <w:rFonts w:ascii="Times New Roman" w:hAnsi="Times New Roman"/>
          <w:sz w:val="20"/>
        </w:rPr>
        <w:t xml:space="preserve">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Foster City, California, on May 15,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APOLLOMICS INC.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i/>
              </w:rPr>
            </w:pPr>
            <w:r>
              <w:rPr>
                <w:i/>
              </w:rPr>
              <w:t>/s/ Hung-Wen (Howard) Chen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Hung-Wen (Howard) Chen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vAlign w:val="bottom"/>
          </w:tcPr>
          <w:p>
            <w:pPr>
              <w:pStyle w:val="TableContents"/>
              <w:bidi w:val="0"/>
              <w:spacing w:before="0" w:after="283"/>
              <w:jc w:val="left"/>
              <w:rPr/>
            </w:pPr>
            <w:r>
              <w:rPr/>
              <w:t>Chief Executive Officer and Chairman of the Board of Directors</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53"/>
        <w:gridCol w:w="122"/>
        <w:gridCol w:w="4500"/>
        <w:gridCol w:w="203"/>
        <w:gridCol w:w="2027"/>
      </w:tblGrid>
      <w:tr>
        <w:trPr/>
        <w:tc>
          <w:tcPr>
            <w:tcW w:w="33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50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335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2" w:type="dxa"/>
            <w:tcBorders/>
            <w:vAlign w:val="bottom"/>
          </w:tcPr>
          <w:p>
            <w:pPr>
              <w:pStyle w:val="TableContents"/>
              <w:bidi w:val="0"/>
              <w:spacing w:before="0" w:after="283"/>
              <w:jc w:val="left"/>
              <w:rPr/>
            </w:pPr>
            <w:r>
              <w:rPr/>
              <w:t>  </w:t>
            </w:r>
          </w:p>
        </w:tc>
        <w:tc>
          <w:tcPr>
            <w:tcW w:w="450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c>
          <w:tcPr>
            <w:tcW w:w="203" w:type="dxa"/>
            <w:tcBorders/>
            <w:vAlign w:val="bottom"/>
          </w:tcPr>
          <w:p>
            <w:pPr>
              <w:pStyle w:val="TableContents"/>
              <w:bidi w:val="0"/>
              <w:spacing w:before="0" w:after="283"/>
              <w:jc w:val="left"/>
              <w:rPr/>
            </w:pPr>
            <w:r>
              <w:rPr/>
              <w:t> </w:t>
            </w:r>
          </w:p>
        </w:tc>
        <w:tc>
          <w:tcPr>
            <w:tcW w:w="202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w:t>
            </w:r>
          </w:p>
        </w:tc>
      </w:tr>
      <w:tr>
        <w:trPr>
          <w:trHeight w:val="240" w:hRule="atLeast"/>
        </w:trPr>
        <w:tc>
          <w:tcPr>
            <w:tcW w:w="3353" w:type="dxa"/>
            <w:tcBorders/>
            <w:vAlign w:val="center"/>
          </w:tcPr>
          <w:p>
            <w:pPr>
              <w:pStyle w:val="TableContents"/>
              <w:bidi w:val="0"/>
              <w:spacing w:before="0" w:after="283"/>
              <w:jc w:val="left"/>
              <w:rPr>
                <w:sz w:val="4"/>
                <w:szCs w:val="4"/>
              </w:rPr>
            </w:pPr>
            <w:r>
              <w:rPr>
                <w:sz w:val="4"/>
                <w:szCs w:val="4"/>
              </w:rPr>
            </w:r>
          </w:p>
        </w:tc>
        <w:tc>
          <w:tcPr>
            <w:tcW w:w="4622"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Hung-Wen (Howard) Chen</w:t>
            </w:r>
          </w:p>
        </w:tc>
        <w:tc>
          <w:tcPr>
            <w:tcW w:w="122"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Chairman of the Board of Directors (Principal Executive Officer)</w:t>
            </w:r>
          </w:p>
        </w:tc>
        <w:tc>
          <w:tcPr>
            <w:tcW w:w="203"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May 15, 2026</w:t>
            </w:r>
          </w:p>
        </w:tc>
      </w:tr>
      <w:tr>
        <w:trPr>
          <w:trHeight w:val="240" w:hRule="atLeast"/>
        </w:trPr>
        <w:tc>
          <w:tcPr>
            <w:tcW w:w="3353" w:type="dxa"/>
            <w:tcBorders/>
            <w:vAlign w:val="center"/>
          </w:tcPr>
          <w:p>
            <w:pPr>
              <w:pStyle w:val="TableContents"/>
              <w:bidi w:val="0"/>
              <w:spacing w:before="0" w:after="283"/>
              <w:jc w:val="left"/>
              <w:rPr>
                <w:sz w:val="4"/>
                <w:szCs w:val="4"/>
              </w:rPr>
            </w:pPr>
            <w:r>
              <w:rPr>
                <w:sz w:val="4"/>
                <w:szCs w:val="4"/>
              </w:rPr>
            </w:r>
          </w:p>
        </w:tc>
        <w:tc>
          <w:tcPr>
            <w:tcW w:w="4622"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Peter Lin</w:t>
            </w:r>
          </w:p>
        </w:tc>
        <w:tc>
          <w:tcPr>
            <w:tcW w:w="122"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(Principal Financial Officer and Principal Accounting Officer)</w:t>
            </w:r>
          </w:p>
        </w:tc>
        <w:tc>
          <w:tcPr>
            <w:tcW w:w="203"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May 15, 2026</w:t>
            </w:r>
          </w:p>
        </w:tc>
      </w:tr>
      <w:tr>
        <w:trPr>
          <w:trHeight w:val="240" w:hRule="atLeast"/>
        </w:trPr>
        <w:tc>
          <w:tcPr>
            <w:tcW w:w="3353" w:type="dxa"/>
            <w:tcBorders/>
            <w:vAlign w:val="center"/>
          </w:tcPr>
          <w:p>
            <w:pPr>
              <w:pStyle w:val="TableContents"/>
              <w:bidi w:val="0"/>
              <w:spacing w:before="0" w:after="283"/>
              <w:jc w:val="left"/>
              <w:rPr>
                <w:sz w:val="4"/>
                <w:szCs w:val="4"/>
              </w:rPr>
            </w:pPr>
            <w:r>
              <w:rPr>
                <w:sz w:val="4"/>
                <w:szCs w:val="4"/>
              </w:rPr>
            </w:r>
          </w:p>
        </w:tc>
        <w:tc>
          <w:tcPr>
            <w:tcW w:w="4622"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Ya-Chi (Claudia) Huang</w:t>
            </w:r>
          </w:p>
        </w:tc>
        <w:tc>
          <w:tcPr>
            <w:tcW w:w="122"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May 15, 2026</w:t>
            </w:r>
          </w:p>
        </w:tc>
      </w:tr>
      <w:tr>
        <w:trPr>
          <w:trHeight w:val="240" w:hRule="atLeast"/>
        </w:trPr>
        <w:tc>
          <w:tcPr>
            <w:tcW w:w="3353" w:type="dxa"/>
            <w:tcBorders/>
            <w:vAlign w:val="center"/>
          </w:tcPr>
          <w:p>
            <w:pPr>
              <w:pStyle w:val="TableContents"/>
              <w:bidi w:val="0"/>
              <w:spacing w:before="0" w:after="283"/>
              <w:jc w:val="left"/>
              <w:rPr>
                <w:sz w:val="4"/>
                <w:szCs w:val="4"/>
              </w:rPr>
            </w:pPr>
            <w:r>
              <w:rPr>
                <w:sz w:val="4"/>
                <w:szCs w:val="4"/>
              </w:rPr>
            </w:r>
          </w:p>
        </w:tc>
        <w:tc>
          <w:tcPr>
            <w:tcW w:w="4622"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Yi-Kuei (Alex) Chen</w:t>
            </w:r>
          </w:p>
        </w:tc>
        <w:tc>
          <w:tcPr>
            <w:tcW w:w="122"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May 15, 2026</w:t>
            </w:r>
          </w:p>
        </w:tc>
      </w:tr>
      <w:tr>
        <w:trPr>
          <w:trHeight w:val="240" w:hRule="atLeast"/>
        </w:trPr>
        <w:tc>
          <w:tcPr>
            <w:tcW w:w="3353" w:type="dxa"/>
            <w:tcBorders/>
            <w:vAlign w:val="center"/>
          </w:tcPr>
          <w:p>
            <w:pPr>
              <w:pStyle w:val="TableContents"/>
              <w:bidi w:val="0"/>
              <w:spacing w:before="0" w:after="283"/>
              <w:jc w:val="left"/>
              <w:rPr>
                <w:sz w:val="4"/>
                <w:szCs w:val="4"/>
              </w:rPr>
            </w:pPr>
            <w:r>
              <w:rPr>
                <w:sz w:val="4"/>
                <w:szCs w:val="4"/>
              </w:rPr>
            </w:r>
          </w:p>
        </w:tc>
        <w:tc>
          <w:tcPr>
            <w:tcW w:w="4622"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Hong-Jung (Moses) Chen</w:t>
            </w:r>
          </w:p>
        </w:tc>
        <w:tc>
          <w:tcPr>
            <w:tcW w:w="122"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May 15, 2026</w:t>
            </w:r>
          </w:p>
        </w:tc>
      </w:tr>
      <w:tr>
        <w:trPr>
          <w:trHeight w:val="240" w:hRule="atLeast"/>
        </w:trPr>
        <w:tc>
          <w:tcPr>
            <w:tcW w:w="3353" w:type="dxa"/>
            <w:tcBorders/>
            <w:vAlign w:val="center"/>
          </w:tcPr>
          <w:p>
            <w:pPr>
              <w:pStyle w:val="TableContents"/>
              <w:bidi w:val="0"/>
              <w:spacing w:before="0" w:after="283"/>
              <w:jc w:val="left"/>
              <w:rPr>
                <w:sz w:val="4"/>
                <w:szCs w:val="4"/>
              </w:rPr>
            </w:pPr>
            <w:r>
              <w:rPr>
                <w:sz w:val="4"/>
                <w:szCs w:val="4"/>
              </w:rPr>
            </w:r>
          </w:p>
        </w:tc>
        <w:tc>
          <w:tcPr>
            <w:tcW w:w="4622"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Hsien-Shu Tsai</w:t>
            </w:r>
          </w:p>
        </w:tc>
        <w:tc>
          <w:tcPr>
            <w:tcW w:w="122"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May 15, 2026</w:t>
            </w:r>
          </w:p>
        </w:tc>
      </w:tr>
      <w:tr>
        <w:trPr>
          <w:trHeight w:val="240" w:hRule="atLeast"/>
        </w:trPr>
        <w:tc>
          <w:tcPr>
            <w:tcW w:w="3353" w:type="dxa"/>
            <w:tcBorders/>
            <w:vAlign w:val="center"/>
          </w:tcPr>
          <w:p>
            <w:pPr>
              <w:pStyle w:val="TableContents"/>
              <w:bidi w:val="0"/>
              <w:spacing w:before="0" w:after="283"/>
              <w:jc w:val="left"/>
              <w:rPr>
                <w:sz w:val="4"/>
                <w:szCs w:val="4"/>
              </w:rPr>
            </w:pPr>
            <w:r>
              <w:rPr>
                <w:sz w:val="4"/>
                <w:szCs w:val="4"/>
              </w:rPr>
            </w:r>
          </w:p>
        </w:tc>
        <w:tc>
          <w:tcPr>
            <w:tcW w:w="4622"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Yi-An Chu</w:t>
            </w:r>
          </w:p>
        </w:tc>
        <w:tc>
          <w:tcPr>
            <w:tcW w:w="122"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May 15, 2026</w:t>
            </w:r>
          </w:p>
        </w:tc>
      </w:tr>
      <w:tr>
        <w:trPr>
          <w:trHeight w:val="240" w:hRule="atLeast"/>
        </w:trPr>
        <w:tc>
          <w:tcPr>
            <w:tcW w:w="3353" w:type="dxa"/>
            <w:tcBorders/>
            <w:vAlign w:val="center"/>
          </w:tcPr>
          <w:p>
            <w:pPr>
              <w:pStyle w:val="TableContents"/>
              <w:bidi w:val="0"/>
              <w:spacing w:before="0" w:after="283"/>
              <w:jc w:val="left"/>
              <w:rPr>
                <w:sz w:val="4"/>
                <w:szCs w:val="4"/>
              </w:rPr>
            </w:pPr>
            <w:r>
              <w:rPr>
                <w:sz w:val="4"/>
                <w:szCs w:val="4"/>
              </w:rPr>
            </w:r>
          </w:p>
        </w:tc>
        <w:tc>
          <w:tcPr>
            <w:tcW w:w="4622" w:type="dxa"/>
            <w:gridSpan w:val="2"/>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r>
      <w:tr>
        <w:trPr/>
        <w:tc>
          <w:tcPr>
            <w:tcW w:w="335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Chen-Huan Jan</w:t>
            </w:r>
          </w:p>
        </w:tc>
        <w:tc>
          <w:tcPr>
            <w:tcW w:w="122"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3" w:type="dxa"/>
            <w:tcBorders/>
            <w:vAlign w:val="bottom"/>
          </w:tcPr>
          <w:p>
            <w:pPr>
              <w:pStyle w:val="TableContents"/>
              <w:bidi w:val="0"/>
              <w:spacing w:before="0" w:after="283"/>
              <w:jc w:val="left"/>
              <w:rPr/>
            </w:pPr>
            <w:r>
              <w:rPr/>
              <w:t> </w:t>
            </w:r>
          </w:p>
        </w:tc>
        <w:tc>
          <w:tcPr>
            <w:tcW w:w="2027" w:type="dxa"/>
            <w:tcBorders/>
          </w:tcPr>
          <w:p>
            <w:pPr>
              <w:pStyle w:val="TableContents"/>
              <w:bidi w:val="0"/>
              <w:spacing w:before="0" w:after="283"/>
              <w:jc w:val="center"/>
              <w:rPr/>
            </w:pPr>
            <w:r>
              <w:rPr/>
              <w:t>May 15,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4"/>
        <w:gridCol w:w="60"/>
        <w:gridCol w:w="3338"/>
      </w:tblGrid>
      <w:tr>
        <w:trPr/>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8" w:type="dxa"/>
            <w:tcBorders>
              <w:bottom w:val="single" w:sz="2" w:space="0" w:color="000000"/>
            </w:tcBorders>
            <w:tcMar>
              <w:bottom w:w="28" w:type="dxa"/>
            </w:tcMar>
          </w:tcPr>
          <w:p>
            <w:pPr>
              <w:pStyle w:val="TableContents"/>
              <w:bidi w:val="0"/>
              <w:spacing w:before="0" w:after="283"/>
              <w:jc w:val="left"/>
              <w:rPr>
                <w:i/>
              </w:rPr>
            </w:pPr>
            <w:r>
              <w:rPr>
                <w:i/>
              </w:rPr>
              <w:t>/s/ Peter Lin</w:t>
            </w:r>
          </w:p>
        </w:tc>
      </w:tr>
      <w:tr>
        <w:trPr/>
        <w:tc>
          <w:tcPr>
            <w:tcW w:w="68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bidi w:val="0"/>
              <w:spacing w:before="0" w:after="283"/>
              <w:jc w:val="left"/>
              <w:rPr/>
            </w:pPr>
            <w:r>
              <w:rPr/>
              <w:t>Peter Lin</w:t>
            </w:r>
          </w:p>
        </w:tc>
      </w:tr>
      <w:tr>
        <w:trPr/>
        <w:tc>
          <w:tcPr>
            <w:tcW w:w="68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AUTHORIZED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undersigned, the duly authorized representative in the United States ofApollomics Inc. has signed this registration statement on its behalf by the undersigned, thereunto duly authorized, in Foster City, California, on May 15,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0"/>
        <w:gridCol w:w="60"/>
        <w:gridCol w:w="3352"/>
      </w:tblGrid>
      <w:tr>
        <w:trPr/>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2" w:type="dxa"/>
            <w:tcBorders>
              <w:bottom w:val="single" w:sz="2" w:space="0" w:color="000000"/>
            </w:tcBorders>
            <w:tcMar>
              <w:bottom w:w="28" w:type="dxa"/>
            </w:tcMar>
          </w:tcPr>
          <w:p>
            <w:pPr>
              <w:pStyle w:val="TableContents"/>
              <w:bidi w:val="0"/>
              <w:spacing w:before="0" w:after="283"/>
              <w:jc w:val="left"/>
              <w:rPr>
                <w:i/>
              </w:rPr>
            </w:pPr>
            <w:r>
              <w:rPr>
                <w:i/>
              </w:rPr>
              <w:t>/s/ Peter Lin</w:t>
            </w:r>
          </w:p>
        </w:tc>
      </w:tr>
      <w:tr>
        <w:trPr/>
        <w:tc>
          <w:tcPr>
            <w:tcW w:w="67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left"/>
              <w:rPr/>
            </w:pPr>
            <w:r>
              <w:rPr/>
              <w:t>Peter Lin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sz w:val="20"/>
        </w:rPr>
      </w:pPr>
      <w:bookmarkStart w:id="25" w:name="d55980dex231.htm"/>
      <w:bookmarkStart w:id="26" w:name="ksd55980dex231"/>
      <w:bookmarkEnd w:id="25"/>
      <w:bookmarkEnd w:id="26"/>
      <w:r>
        <w:rPr>
          <w:rFonts w:ascii="Times New Roman" w:hAnsi="Times New Roman"/>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INDEPENDENT REGISTERED PUBLIC ACCOUNTING FIRM’S CONSENT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F-3 of our report dated April 24, 2026 relating to the financial statements appearing in the Annual Report on Form 20-F of Apollomics Inc.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Marcum Asia CPAs LLP </w:t>
      </w:r>
    </w:p>
    <w:p>
      <w:pPr>
        <w:pStyle w:val="TextBody"/>
        <w:bidi w:val="0"/>
        <w:spacing w:before="240" w:after="0"/>
        <w:jc w:val="left"/>
        <w:rPr>
          <w:rFonts w:ascii="Times New Roman" w:hAnsi="Times New Roman"/>
          <w:sz w:val="20"/>
        </w:rPr>
      </w:pPr>
      <w:r>
        <w:rPr>
          <w:rFonts w:ascii="Times New Roman" w:hAnsi="Times New Roman"/>
          <w:sz w:val="20"/>
        </w:rPr>
        <w:t xml:space="preserve">Marcum Asia CPAs LLP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May 15, 2026 </w:t>
      </w:r>
    </w:p>
    <w:p>
      <w:pPr>
        <w:pStyle w:val="TextBody"/>
        <w:bidi w:val="0"/>
        <w:spacing w:before="0" w:after="0"/>
        <w:jc w:val="right"/>
        <w:rPr>
          <w:rFonts w:ascii="Times New Roman" w:hAnsi="Times New Roman"/>
          <w:b/>
          <w:sz w:val="20"/>
        </w:rPr>
      </w:pPr>
      <w:bookmarkStart w:id="27" w:name="d55980dex232.htm"/>
      <w:bookmarkStart w:id="28" w:name="ksd55980dex232"/>
      <w:bookmarkEnd w:id="27"/>
      <w:bookmarkEnd w:id="28"/>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issued our report dated April 3, 2025, with respect to the consolidated financial statements of Apollomics Inc. as of December 31, 2024 and for each of the two years then ended included in the Annual Report on Form 20-F for the year ended December 31, 2025, which is incorporated by reference in this Registration Statement. We consent to the incorporation by reference of the aforementioned report in this Registration Statement, and to the use of our name as it appears under the caption “Experts.” </w:t>
      </w:r>
    </w:p>
    <w:p>
      <w:pPr>
        <w:pStyle w:val="TextBody"/>
        <w:bidi w:val="0"/>
        <w:spacing w:before="240" w:after="0"/>
        <w:jc w:val="left"/>
        <w:rPr>
          <w:rFonts w:ascii="Times New Roman" w:hAnsi="Times New Roman"/>
          <w:sz w:val="20"/>
        </w:rPr>
      </w:pPr>
      <w:r>
        <w:rPr>
          <w:rFonts w:ascii="Times New Roman" w:hAnsi="Times New Roman"/>
          <w:sz w:val="20"/>
        </w:rPr>
        <w:t xml:space="preserve">/s/ GRANT THORNTON LLP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 </w:t>
      </w:r>
    </w:p>
    <w:p>
      <w:pPr>
        <w:pStyle w:val="TextBody"/>
        <w:bidi w:val="0"/>
        <w:spacing w:before="0" w:after="0"/>
        <w:jc w:val="left"/>
        <w:rPr>
          <w:rFonts w:ascii="Times New Roman" w:hAnsi="Times New Roman"/>
          <w:sz w:val="20"/>
        </w:rPr>
      </w:pPr>
      <w:r>
        <w:rPr>
          <w:rFonts w:ascii="Times New Roman" w:hAnsi="Times New Roman"/>
          <w:sz w:val="20"/>
        </w:rPr>
        <w:t xml:space="preserve">May 15,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944885/000119312526177357/aplm-20251231.htm" TargetMode="External"/><Relationship Id="rId4" Type="http://schemas.openxmlformats.org/officeDocument/2006/relationships/hyperlink" Target="http://www.sec.gov/Archives/edgar/data/1944885/000119312526177357/aplm-ex2_1.htm" TargetMode="External"/><Relationship Id="rId5" Type="http://schemas.openxmlformats.org/officeDocument/2006/relationships/image" Target="media/image2.jpeg"/><Relationship Id="rId6" Type="http://schemas.openxmlformats.org/officeDocument/2006/relationships/hyperlink" Target="http://www.sec.gov/Archives/edgar/data/1944885/000119312523127602/d484384dex21.htm" TargetMode="External"/><Relationship Id="rId7" Type="http://schemas.openxmlformats.org/officeDocument/2006/relationships/image" Target="media/image3.jpeg"/><Relationship Id="rId8" Type="http://schemas.openxmlformats.org/officeDocument/2006/relationships/hyperlink" Target="http://www.sec.gov/Archives/edgar/data/1944885/000119312523088218/d473873dex11.htm" TargetMode="External"/><Relationship Id="rId9" Type="http://schemas.openxmlformats.org/officeDocument/2006/relationships/hyperlink" Target="http://www.sec.gov/Archives/edgar/data/1944885/000119312522304941/d390280dex45.htm" TargetMode="External"/><Relationship Id="rId10" Type="http://schemas.openxmlformats.org/officeDocument/2006/relationships/hyperlink" Target="http://www.sec.gov/Archives/edgar/data/1944885/000119312525194953/d56007dex101.htm" TargetMode="External"/><Relationship Id="rId11" Type="http://schemas.openxmlformats.org/officeDocument/2006/relationships/hyperlink" Target="http://www.sec.gov/Archives/edgar/data/1944885/000119312526098822/d55980dex51.htm" TargetMode="External"/><Relationship Id="rId12" Type="http://schemas.openxmlformats.org/officeDocument/2006/relationships/hyperlink" Target="http://www.sec.gov/Archives/edgar/data/1944885/000119312526098822/d55980dex51.htm" TargetMode="External"/><Relationship Id="rId13" Type="http://schemas.openxmlformats.org/officeDocument/2006/relationships/hyperlink" Target="http://www.sec.gov/Archives/edgar/data/../../../ix?doc=/Archives/edgar/data/1944885/000119312526098822/d55980dexfilingfees.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22798</Words>
  <Characters>120835</Characters>
  <CharactersWithSpaces>144196</CharactersWithSpaces>
  <Paragraphs>1464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