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001-41670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43"/>
          <w:szCs w:val="43"/>
          <w:b w:val="1"/>
          <w:bCs w:val="1"/>
          <w:color w:val="auto"/>
        </w:rPr>
        <w:t>Apollomics Inc.</w:t>
      </w:r>
    </w:p>
    <w:p>
      <w:pPr>
        <w:spacing w:after="0" w:line="5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989 E. Hillsdale Blvd., Suite 220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Entry into PIPE Subscription Agreements</w:t>
      </w:r>
    </w:p>
    <w:p>
      <w:pPr>
        <w:spacing w:after="0" w:line="121" w:lineRule="exact"/>
        <w:rPr>
          <w:sz w:val="20"/>
          <w:szCs w:val="20"/>
          <w:color w:val="auto"/>
        </w:rPr>
      </w:pPr>
    </w:p>
    <w:p>
      <w:pPr>
        <w:jc w:val="both"/>
        <w:ind w:right="920"/>
        <w:spacing w:after="0" w:line="266" w:lineRule="auto"/>
        <w:rPr>
          <w:sz w:val="20"/>
          <w:szCs w:val="20"/>
          <w:color w:val="auto"/>
        </w:rPr>
      </w:pPr>
      <w:r>
        <w:rPr>
          <w:rFonts w:ascii="Times New Roman" w:cs="Times New Roman" w:eastAsia="Times New Roman" w:hAnsi="Times New Roman"/>
          <w:sz w:val="18"/>
          <w:szCs w:val="18"/>
          <w:color w:val="auto"/>
        </w:rPr>
        <w:t>On May 6, 2024, Apollomics Inc., a Cayman Islands exempted company (the “Company”), entered into subscription agreements (the “PIPE Subscription Agreements”) for a private placement (the “PIPE”) with certain accredited investors (each, a “Purchaser” and collectively, the “Purchasers”). The closing of the PIPE is expected to occur on May 8, 2024 (the “Closing Date”).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Pursuant to the PIPE Subscription Agreements, the Purchasers have agreed to purchase an aggregate of 19,166,666 Class A ordinary shares, par value $0.0001 per share, of the Company (the “PIPE Shares”), at a price per share of $0.30, representing aggregate gross proceeds to the company of $5.75 million, prior to the payment of fees and expenses.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PIPE Subscription Agreements contain customary representations and warranties of the Company and the Purchasers, customary conditions to closing, as well as customary indemnification obligations. Pursuant to the PIPE Subscription Agreements, the Company has agreed to register the resale of the PIPE Shares and is required to prepare and file a registration statement with the U.S. Securities and Exchange Commission no later than thirty days following the Closing Date.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securities to be issued and sold to the Purchasers under the PIPE Subscription Agreements will not be registered under the Securities Act of 1933, as amended (the “Securities Act”) in reliance on the exemption from registration provided by Section 4(a)(2) of the Securities Act and/or Rule 506 of Regulation D promulgated thereunder, or under any state securities laws. The Company relied on this exemption from registration based in part on representations made by the Purchasers. The securities may not be offered or sold in the United States absent registration or an applicable exemption from registration requirements. Neither this Report of Foreign Private Issuer on Form 6-K, nor the exhibits attached hereto, is an offer to sell or the solicitation of an offer to buy the securities described herein.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summary of the PIPE Subscription Agreements does not purport to be complete and is qualified in its entirety by reference to the PIPE Subscription Agreements, a form of which is filed as Exhibit 10.1 to this Report of Foreign Private Issuer on Form 6-K and is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and Departure of Certain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2024, the Company appointed Bob Lin, MD, PhD to the board of directors of the Company (the “Board”), effective the same day.</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Dr. Lin is a physician and researcher who has conducted multinational clinical trials and is experienced in genomics, proteomics and biotech transactions. Dr. Lin has served as the vice director of the Internal Medicine Department at a tertiary medical center in Taiwan and conducted post-doctoral research at Lawrence Berkeley Laboratory in the United States.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Dr. Lin is considered to be an independent director under the listing rules of the Nasdaq Stock Market (“Nasdaq”) and has been appointed as a member of the nominating and corporate governance committee of the Board. Dr. Lin will serve as a Class II director. Dr. Lin does not have a family relationship with any other director or officer of the Company as defined in Item 401 of Regulation S-K.</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6, 2024, Jonathan Wang, Ph.D. resigned from the Board, effective the same day, for personal reasons. Dr. Wang’s resignation was not prompted by any disagreement with the Company on any matter relating to the Company’s operations, policies or practices.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issued a press release entitled “Apollomics Announces Private Placement Financing and Addition to Board of Directors.” A copy of this press release is furnished as Exhibit 99.1 herewith.</w:t>
      </w:r>
    </w:p>
    <w:p>
      <w:pPr>
        <w:sectPr>
          <w:pgSz w:w="11900" w:h="16838" w:orient="portrait"/>
          <w:cols w:equalWidth="0" w:num="1">
            <w:col w:w="11000"/>
          </w:cols>
          <w:pgMar w:left="440" w:top="266" w:right="459" w:bottom="1440" w:gutter="0" w:footer="0" w:header="0"/>
        </w:sectPr>
      </w:pPr>
    </w:p>
    <w:bookmarkStart w:id="2" w:name="page3"/>
    <w:bookmarkEnd w:id="2"/>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press release set forth in Exhibits 99.1 is being furnished with the Commission and shall not be deemed “filed” for purposes of Section 18 of the Securities Exchange Act of 1934, as amended (the “Exchange Act”), or otherwise subject to the liabilities of that section, nor shall it be deemed incorporated by reference into any filing under the Securities Act or the Exchange Act.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of Foreign Private Issuer on Form 6-K is incorporated by reference into the Company’s registration statements, including its registration statements on Form F-3 (File Nos. 333-278430 and 333-278431) and registration statement on Form S-8 (File No. 333-272559), and shall be a part thereof, to the extent not superseded by documents or reports subsequently filed or furnished.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PIPE Subscription Agreement, dated as of May 6, 2024, by and between Apollomics Inc. and the Subscriber party thereto.</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entitled “Apollomics Announces Private Placement Financing and Addition to Board of Directors”</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APOLLOMICS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Guo-Liang Yu</w:t>
            </w:r>
          </w:p>
        </w:tc>
      </w:tr>
      <w:tr>
        <w:trPr>
          <w:trHeight w:val="191"/>
        </w:trPr>
        <w:tc>
          <w:tcPr>
            <w:tcW w:w="3440" w:type="dxa"/>
            <w:vAlign w:val="bottom"/>
          </w:tcPr>
          <w:p>
            <w:pPr>
              <w:spacing w:after="0"/>
              <w:rPr>
                <w:sz w:val="16"/>
                <w:szCs w:val="16"/>
                <w:color w:val="auto"/>
              </w:rPr>
            </w:pPr>
          </w:p>
        </w:tc>
        <w:tc>
          <w:tcPr>
            <w:tcW w:w="262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Guo-Liang Yu</w:t>
            </w:r>
          </w:p>
        </w:tc>
      </w:tr>
      <w:tr>
        <w:trPr>
          <w:trHeight w:val="234"/>
        </w:trPr>
        <w:tc>
          <w:tcPr>
            <w:tcW w:w="3440" w:type="dxa"/>
            <w:vAlign w:val="bottom"/>
          </w:tcPr>
          <w:p>
            <w:pPr>
              <w:spacing w:after="0"/>
              <w:rPr>
                <w:sz w:val="20"/>
                <w:szCs w:val="20"/>
                <w:color w:val="auto"/>
              </w:rPr>
            </w:pP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Apollomics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 E. Hillsdale Blvd.,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u w:val="single" w:color="auto"/>
          <w:color w:val="auto"/>
        </w:rPr>
        <w:t>Subscription Agreement</w:t>
      </w:r>
      <w:r>
        <w:rPr>
          <w:rFonts w:ascii="Times New Roman" w:cs="Times New Roman" w:eastAsia="Times New Roman" w:hAnsi="Times New Roman"/>
          <w:sz w:val="18"/>
          <w:szCs w:val="18"/>
          <w:color w:val="auto"/>
        </w:rPr>
        <w:t>”) is being entered into as of May 6, 2024, by and between Apollomics Inc., a Cayman Islands exempted company (“</w:t>
      </w:r>
      <w:r>
        <w:rPr>
          <w:rFonts w:ascii="Times New Roman" w:cs="Times New Roman" w:eastAsia="Times New Roman" w:hAnsi="Times New Roman"/>
          <w:sz w:val="18"/>
          <w:szCs w:val="18"/>
          <w:b w:val="1"/>
          <w:bCs w:val="1"/>
          <w:u w:val="single" w:color="auto"/>
          <w:color w:val="auto"/>
        </w:rPr>
        <w:t>Apollomics</w:t>
      </w:r>
      <w:r>
        <w:rPr>
          <w:rFonts w:ascii="Times New Roman" w:cs="Times New Roman" w:eastAsia="Times New Roman" w:hAnsi="Times New Roman"/>
          <w:sz w:val="18"/>
          <w:szCs w:val="18"/>
          <w:color w:val="auto"/>
        </w:rPr>
        <w:t>”), and the undersigned subscriber (“</w:t>
      </w:r>
      <w:r>
        <w:rPr>
          <w:rFonts w:ascii="Times New Roman" w:cs="Times New Roman" w:eastAsia="Times New Roman" w:hAnsi="Times New Roman"/>
          <w:sz w:val="18"/>
          <w:szCs w:val="18"/>
          <w:b w:val="1"/>
          <w:bCs w:val="1"/>
          <w:u w:val="single" w:color="auto"/>
          <w:color w:val="auto"/>
        </w:rPr>
        <w:t>Subscriber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Subscriber desires to subscribe for and purchase from Apollomics, that number of Class A ordinary shares, par value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t>
      </w:r>
      <w:r>
        <w:rPr>
          <w:rFonts w:ascii="Times New Roman" w:cs="Times New Roman" w:eastAsia="Times New Roman" w:hAnsi="Times New Roman"/>
          <w:sz w:val="18"/>
          <w:szCs w:val="18"/>
          <w:b w:val="1"/>
          <w:bCs w:val="1"/>
          <w:u w:val="single" w:color="auto"/>
          <w:color w:val="auto"/>
        </w:rPr>
        <w:t>Ordinary Shares</w:t>
      </w:r>
      <w:r>
        <w:rPr>
          <w:rFonts w:ascii="Times New Roman" w:cs="Times New Roman" w:eastAsia="Times New Roman" w:hAnsi="Times New Roman"/>
          <w:sz w:val="18"/>
          <w:szCs w:val="18"/>
          <w:color w:val="auto"/>
        </w:rPr>
        <w:t>”), set forth on the signature page hereto (the “</w:t>
      </w:r>
      <w:r>
        <w:rPr>
          <w:rFonts w:ascii="Times New Roman" w:cs="Times New Roman" w:eastAsia="Times New Roman" w:hAnsi="Times New Roman"/>
          <w:sz w:val="18"/>
          <w:szCs w:val="18"/>
          <w:b w:val="1"/>
          <w:bCs w:val="1"/>
          <w:u w:val="single" w:color="auto"/>
          <w:color w:val="auto"/>
        </w:rPr>
        <w:t>Subscribed Shares</w:t>
      </w:r>
      <w:r>
        <w:rPr>
          <w:rFonts w:ascii="Times New Roman" w:cs="Times New Roman" w:eastAsia="Times New Roman" w:hAnsi="Times New Roman"/>
          <w:sz w:val="18"/>
          <w:szCs w:val="18"/>
          <w:color w:val="auto"/>
        </w:rPr>
        <w:t>”) for a purchase price of $0.30 per share (the “</w:t>
      </w:r>
      <w:r>
        <w:rPr>
          <w:rFonts w:ascii="Times New Roman" w:cs="Times New Roman" w:eastAsia="Times New Roman" w:hAnsi="Times New Roman"/>
          <w:sz w:val="18"/>
          <w:szCs w:val="18"/>
          <w:b w:val="1"/>
          <w:bCs w:val="1"/>
          <w:u w:val="single" w:color="auto"/>
          <w:color w:val="auto"/>
        </w:rPr>
        <w:t>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Price</w:t>
      </w:r>
      <w:r>
        <w:rPr>
          <w:rFonts w:ascii="Times New Roman" w:cs="Times New Roman" w:eastAsia="Times New Roman" w:hAnsi="Times New Roman"/>
          <w:sz w:val="18"/>
          <w:szCs w:val="18"/>
          <w:color w:val="auto"/>
        </w:rPr>
        <w:t>” and the aggregate of such Per Share Price for all Subscribed Shares being referred to herein as the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and at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the Ordinary Shares contemplated hereby (the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Apollomics desires to issue and sell to Subscriber the Subscribed Shares in consideration of the payment of the Purchase Price by or on behalf of Subscriber to Apollomics, all on the terms and subject to the conditions set forth herein; and</w:t>
      </w:r>
    </w:p>
    <w:p>
      <w:pPr>
        <w:spacing w:after="0" w:line="18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prior to the Closing, Apollomics is entering into subscription agreements (the “</w:t>
      </w:r>
      <w:r>
        <w:rPr>
          <w:rFonts w:ascii="Times New Roman" w:cs="Times New Roman" w:eastAsia="Times New Roman" w:hAnsi="Times New Roman"/>
          <w:sz w:val="18"/>
          <w:szCs w:val="18"/>
          <w:b w:val="1"/>
          <w:bCs w:val="1"/>
          <w:u w:val="single" w:color="auto"/>
          <w:color w:val="auto"/>
        </w:rPr>
        <w:t>Other Subscription Agreements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this Subscription Agreement, the “</w:t>
      </w:r>
      <w:r>
        <w:rPr>
          <w:rFonts w:ascii="Times New Roman" w:cs="Times New Roman" w:eastAsia="Times New Roman" w:hAnsi="Times New Roman"/>
          <w:sz w:val="18"/>
          <w:szCs w:val="18"/>
          <w:b w:val="1"/>
          <w:bCs w:val="1"/>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b w:val="1"/>
          <w:bCs w:val="1"/>
          <w:u w:val="single" w:color="auto"/>
          <w:color w:val="auto"/>
        </w:rPr>
        <w:t>Other Subscribers</w:t>
      </w:r>
      <w:r>
        <w:rPr>
          <w:rFonts w:ascii="Times New Roman" w:cs="Times New Roman" w:eastAsia="Times New Roman" w:hAnsi="Times New Roman"/>
          <w:sz w:val="18"/>
          <w:szCs w:val="18"/>
          <w:color w:val="auto"/>
        </w:rPr>
        <w:t>” and together with Subscriber, the “</w:t>
      </w:r>
      <w:r>
        <w:rPr>
          <w:rFonts w:ascii="Times New Roman" w:cs="Times New Roman" w:eastAsia="Times New Roman" w:hAnsi="Times New Roman"/>
          <w:sz w:val="18"/>
          <w:szCs w:val="18"/>
          <w:b w:val="1"/>
          <w:bCs w:val="1"/>
          <w:u w:val="single" w:color="auto"/>
          <w:color w:val="auto"/>
        </w:rPr>
        <w:t>Subscribers</w:t>
      </w:r>
      <w:r>
        <w:rPr>
          <w:rFonts w:ascii="Times New Roman" w:cs="Times New Roman" w:eastAsia="Times New Roman" w:hAnsi="Times New Roman"/>
          <w:sz w:val="18"/>
          <w:szCs w:val="18"/>
          <w:color w:val="auto"/>
        </w:rPr>
        <w:t>”), pursuant to which such Other Subscribers have agreed to subscribe for and purchase from Apollomics, and Apollomics desires to issue and sell to the Other Subscribers at the Closing, Ordinary Shares at the Per Share Price (the shares of the Other Subscribers, the “</w:t>
      </w:r>
      <w:r>
        <w:rPr>
          <w:rFonts w:ascii="Times New Roman" w:cs="Times New Roman" w:eastAsia="Times New Roman" w:hAnsi="Times New Roman"/>
          <w:sz w:val="18"/>
          <w:szCs w:val="18"/>
          <w:b w:val="1"/>
          <w:bCs w:val="1"/>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Subscribed Shares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mutual representations, warranties and covenants, and subject to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contained, and intending to be legally bound hereby, the parties hereto hereby agree as follows:</w:t>
      </w:r>
    </w:p>
    <w:p>
      <w:pPr>
        <w:spacing w:after="0" w:line="49"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hereof, Subscriber hereby irrevocably subscribes for and agrees to purchase, and Apollomics hereby agrees to issue and sell to Subscriber upon the payment of the Purchase Price, in each case, at the Closing, the Subscribed Shares (such subscription and issuance, the “</w:t>
      </w:r>
      <w:r>
        <w:rPr>
          <w:rFonts w:ascii="Times New Roman" w:cs="Times New Roman" w:eastAsia="Times New Roman" w:hAnsi="Times New Roman"/>
          <w:sz w:val="18"/>
          <w:szCs w:val="18"/>
          <w:b w:val="1"/>
          <w:bCs w:val="1"/>
          <w:u w:val="single" w:color="auto"/>
          <w:color w:val="auto"/>
        </w:rPr>
        <w:t>Subscription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Closing; Delivery of Shares;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36"/>
        <w:spacing w:after="0" w:line="255" w:lineRule="auto"/>
        <w:tabs>
          <w:tab w:leader="none" w:pos="6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occur on May 8, 2024 following the signing of this Subscription Agreement, or at such other time as may be agreed to by Apollomics and a majority of the Subscribers in writing (the “</w:t>
      </w:r>
      <w:r>
        <w:rPr>
          <w:rFonts w:ascii="Times New Roman" w:cs="Times New Roman" w:eastAsia="Times New Roman" w:hAnsi="Times New Roman"/>
          <w:sz w:val="18"/>
          <w:szCs w:val="18"/>
          <w:b w:val="1"/>
          <w:bCs w:val="1"/>
          <w:u w:val="single" w:color="auto"/>
          <w:color w:val="auto"/>
        </w:rPr>
        <w:t>Subscription Closing Date</w:t>
      </w:r>
      <w:r>
        <w:rPr>
          <w:rFonts w:ascii="Times New Roman" w:cs="Times New Roman" w:eastAsia="Times New Roman" w:hAnsi="Times New Roman"/>
          <w:sz w:val="18"/>
          <w:szCs w:val="18"/>
          <w:color w:val="auto"/>
        </w:rPr>
        <w:t>”). For the purposes of this Subscription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governmental authorities in the Cayman Islands are authorized or required by Law (as defined below) to close. For the purposes of this Subscription Agreement, “</w:t>
      </w:r>
      <w:r>
        <w:rPr>
          <w:rFonts w:ascii="Times New Roman" w:cs="Times New Roman" w:eastAsia="Times New Roman" w:hAnsi="Times New Roman"/>
          <w:sz w:val="18"/>
          <w:szCs w:val="18"/>
          <w:b w:val="1"/>
          <w:bCs w:val="1"/>
          <w:u w:val="single" w:color="auto"/>
          <w:color w:val="auto"/>
        </w:rPr>
        <w:t>Law</w:t>
      </w:r>
      <w:r>
        <w:rPr>
          <w:rFonts w:ascii="Times New Roman" w:cs="Times New Roman" w:eastAsia="Times New Roman" w:hAnsi="Times New Roman"/>
          <w:sz w:val="18"/>
          <w:szCs w:val="18"/>
          <w:color w:val="auto"/>
        </w:rPr>
        <w:t>” means any federal, state, local, municipal, foreign or other law, statute, legislation, ordinance, code, edict, decree, proclamation, treaty, convention, rule, regulation, writ, injunction, order or consent that is or has been issued, enacted, adopted, passed, approved, promulgated, made, implemented or otherwise put into effect by or under the authority of any Governmental Authority (as defined below).</w:t>
      </w:r>
    </w:p>
    <w:p>
      <w:pPr>
        <w:sectPr>
          <w:pgSz w:w="11900" w:h="16838" w:orient="portrait"/>
          <w:cols w:equalWidth="0" w:num="1">
            <w:col w:w="11020"/>
          </w:cols>
          <w:pgMar w:left="440" w:top="117" w:right="439" w:bottom="1440" w:gutter="0" w:footer="0" w:header="0"/>
        </w:sectPr>
      </w:pPr>
    </w:p>
    <w:bookmarkStart w:id="5" w:name="page6"/>
    <w:bookmarkEnd w:id="5"/>
    <w:p>
      <w:pPr>
        <w:ind w:left="4" w:right="240" w:firstLine="436"/>
        <w:spacing w:after="0" w:line="282" w:lineRule="auto"/>
        <w:tabs>
          <w:tab w:leader="none" w:pos="69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date of the signing of this Subscription Agreement, Subscriber shall execute and deliver the questionnaire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w:t>
      </w:r>
    </w:p>
    <w:p>
      <w:pPr>
        <w:spacing w:after="0" w:line="161"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Subscription Closing Date, prior to 10:00 a.m. (Eastern Time), Subscriber shall deliver the Purchase Price for the Subscribed Shares by wire transfer of United States dollars in immediately available funds to the account specified by Apollomics on or prior to the Closing Date.</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satisfaction (or, if applicable, waiver) of the conditions set forth in </w:t>
      </w:r>
      <w:r>
        <w:rPr>
          <w:rFonts w:ascii="Times New Roman" w:cs="Times New Roman" w:eastAsia="Times New Roman" w:hAnsi="Times New Roman"/>
          <w:sz w:val="18"/>
          <w:szCs w:val="18"/>
          <w:u w:val="single" w:color="auto"/>
          <w:color w:val="auto"/>
        </w:rPr>
        <w:t>Sections 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2(g)</w:t>
      </w:r>
      <w:r>
        <w:rPr>
          <w:rFonts w:ascii="Times New Roman" w:cs="Times New Roman" w:eastAsia="Times New Roman" w:hAnsi="Times New Roman"/>
          <w:sz w:val="18"/>
          <w:szCs w:val="18"/>
          <w:color w:val="auto"/>
        </w:rPr>
        <w:t>, Apollomics shall deliver to Subscriber</w:t>
      </w:r>
    </w:p>
    <w:p>
      <w:pPr>
        <w:spacing w:after="0" w:line="27" w:lineRule="exact"/>
        <w:rPr>
          <w:rFonts w:ascii="Times New Roman" w:cs="Times New Roman" w:eastAsia="Times New Roman" w:hAnsi="Times New Roman"/>
          <w:sz w:val="18"/>
          <w:szCs w:val="18"/>
          <w:color w:val="auto"/>
        </w:rPr>
      </w:pPr>
    </w:p>
    <w:p>
      <w:pPr>
        <w:ind w:left="4" w:right="220" w:hanging="4"/>
        <w:spacing w:after="0" w:line="273"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the Subscribed Shares in book entry form, free and clear of any liens or other restrictions (other than those arising under this Subscription Agreement or applicable securities Laws), in the name of Subscriber (or its nominee identified to Apollomics in writing no less than one Business Day prior to the Closing), and (ii) as promptly as practicable after the Closing, evidence from Apollomics’ transfer agent of the issuance to Subscriber of the Subscribed Shares (in book entry form and containing customary restrictive legends) on and as of the Subscription Closing Date.</w:t>
      </w:r>
    </w:p>
    <w:p>
      <w:pPr>
        <w:spacing w:after="0" w:line="172" w:lineRule="exact"/>
        <w:rPr>
          <w:rFonts w:ascii="Times New Roman" w:cs="Times New Roman" w:eastAsia="Times New Roman" w:hAnsi="Times New Roman"/>
          <w:sz w:val="17"/>
          <w:szCs w:val="17"/>
          <w:color w:val="auto"/>
        </w:rPr>
      </w:pPr>
    </w:p>
    <w:p>
      <w:pPr>
        <w:ind w:left="4" w:right="380" w:firstLine="436"/>
        <w:spacing w:after="0" w:line="282"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transactions contemplated herein shall be subject to the satisfaction, or valid waiver by each of the parties hereto, of the conditions that, on the Subscription Closing Date:</w:t>
      </w:r>
    </w:p>
    <w:p>
      <w:pPr>
        <w:spacing w:after="0" w:line="67" w:lineRule="exact"/>
        <w:rPr>
          <w:rFonts w:ascii="Times New Roman" w:cs="Times New Roman" w:eastAsia="Times New Roman" w:hAnsi="Times New Roman"/>
          <w:sz w:val="18"/>
          <w:szCs w:val="18"/>
          <w:color w:val="auto"/>
        </w:rPr>
      </w:pPr>
    </w:p>
    <w:p>
      <w:pPr>
        <w:ind w:left="1424" w:right="700" w:hanging="439"/>
        <w:spacing w:after="0" w:line="282"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Subscribed Shares for offering or sale or trading in any jurisdiction, or initiation or threatening of any proceedings for any of such purposes, shall have occurred; and</w:t>
      </w:r>
    </w:p>
    <w:p>
      <w:pPr>
        <w:spacing w:after="0" w:line="67" w:lineRule="exact"/>
        <w:rPr>
          <w:rFonts w:ascii="Times New Roman" w:cs="Times New Roman" w:eastAsia="Times New Roman" w:hAnsi="Times New Roman"/>
          <w:sz w:val="18"/>
          <w:szCs w:val="18"/>
          <w:color w:val="auto"/>
        </w:rPr>
      </w:pPr>
    </w:p>
    <w:p>
      <w:pPr>
        <w:ind w:left="1424" w:hanging="439"/>
        <w:spacing w:after="0" w:line="277" w:lineRule="auto"/>
        <w:tabs>
          <w:tab w:leader="none" w:pos="1424"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Governmental Authority shall have issued, enforced or entered any judgment or order, which is then in effect and has the effect of making the consummation of the transactions contemplated hereby illegal or otherwise restraining or prohibiting consummation of the transactions contemplated hereby. For purposes of this Subscription Agreement, “</w:t>
      </w:r>
      <w:r>
        <w:rPr>
          <w:rFonts w:ascii="Times New Roman" w:cs="Times New Roman" w:eastAsia="Times New Roman" w:hAnsi="Times New Roman"/>
          <w:sz w:val="17"/>
          <w:szCs w:val="17"/>
          <w:b w:val="1"/>
          <w:bCs w:val="1"/>
          <w:u w:val="single" w:color="auto"/>
          <w:color w:val="auto"/>
        </w:rPr>
        <w:t>Governmental Authority</w:t>
      </w:r>
      <w:r>
        <w:rPr>
          <w:rFonts w:ascii="Times New Roman" w:cs="Times New Roman" w:eastAsia="Times New Roman" w:hAnsi="Times New Roman"/>
          <w:sz w:val="17"/>
          <w:szCs w:val="17"/>
          <w:color w:val="auto"/>
        </w:rPr>
        <w:t>” means any federal, state, local, foreign or other governmental, quasi-governmental or administrative body, instrumentality, department or agency or any court, tribunal, administrative hearing body, arbitration panel, commission, or other similar dispute-resolving panel or body.</w:t>
      </w:r>
    </w:p>
    <w:p>
      <w:pPr>
        <w:spacing w:after="0" w:line="167" w:lineRule="exact"/>
        <w:rPr>
          <w:rFonts w:ascii="Times New Roman" w:cs="Times New Roman" w:eastAsia="Times New Roman" w:hAnsi="Times New Roman"/>
          <w:sz w:val="17"/>
          <w:szCs w:val="17"/>
          <w:color w:val="auto"/>
        </w:rPr>
      </w:pPr>
    </w:p>
    <w:p>
      <w:pPr>
        <w:ind w:left="4" w:right="560" w:firstLine="436"/>
        <w:spacing w:after="0" w:line="282" w:lineRule="auto"/>
        <w:tabs>
          <w:tab w:leader="none" w:pos="66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Apollomics to consummate the transactions contemplated herein shall be subject to the satisfaction or valid waiver by Apollomics of the additional conditions that, on the Subscription Closing Date:</w:t>
      </w:r>
    </w:p>
    <w:p>
      <w:pPr>
        <w:spacing w:after="0" w:line="67" w:lineRule="exact"/>
        <w:rPr>
          <w:rFonts w:ascii="Times New Roman" w:cs="Times New Roman" w:eastAsia="Times New Roman" w:hAnsi="Times New Roman"/>
          <w:sz w:val="18"/>
          <w:szCs w:val="18"/>
          <w:color w:val="auto"/>
        </w:rPr>
      </w:pPr>
    </w:p>
    <w:p>
      <w:pPr>
        <w:ind w:left="1424" w:right="300" w:hanging="439"/>
        <w:spacing w:after="0" w:line="261"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(as defined herein), which representations and warranties shall be true and correct in all respects) at and as of the Closing (except for representations and warranties that speak</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left="14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a specific date, which shall be true and correct in all material respects as of such date (other than representations and warranties that are qualified as to materiality or Subscriber Material Adverse Effect, which representations and warranties shall be true and correct in all respects) as of such date), and consummation of the transactions contemplated herein shall constitute a reaffirmation by Subscriber of each of the representations, warranties and agreements of Subscriber contained in this Subscription Agreement as of the Closing;</w:t>
      </w:r>
    </w:p>
    <w:p>
      <w:pPr>
        <w:spacing w:after="0" w:line="89" w:lineRule="exact"/>
        <w:rPr>
          <w:sz w:val="20"/>
          <w:szCs w:val="20"/>
          <w:color w:val="auto"/>
        </w:rPr>
      </w:pPr>
    </w:p>
    <w:p>
      <w:pPr>
        <w:ind w:left="1400" w:right="500" w:hanging="439"/>
        <w:spacing w:after="0" w:line="312" w:lineRule="auto"/>
        <w:tabs>
          <w:tab w:leader="none" w:pos="14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shall have performed, satisfied and complied in all material respects with all covenants, agreements and conditions required by this Subscription Agreement to be performed, satisfied or complied with by it at or prior to the Closing; and</w:t>
      </w:r>
    </w:p>
    <w:p>
      <w:pPr>
        <w:spacing w:after="0" w:line="45" w:lineRule="exact"/>
        <w:rPr>
          <w:rFonts w:ascii="Times New Roman" w:cs="Times New Roman" w:eastAsia="Times New Roman" w:hAnsi="Times New Roman"/>
          <w:sz w:val="17"/>
          <w:szCs w:val="17"/>
          <w:color w:val="auto"/>
        </w:rPr>
      </w:pPr>
    </w:p>
    <w:p>
      <w:pPr>
        <w:ind w:left="1400" w:hanging="439"/>
        <w:spacing w:after="0"/>
        <w:tabs>
          <w:tab w:leader="none" w:pos="1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received in full the Purchase Price.</w:t>
      </w:r>
    </w:p>
    <w:p>
      <w:pPr>
        <w:spacing w:after="0" w:line="225"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Subscriber to consummate the transactions contemplated herein shall be subject to the satisfaction or valid waiver by Subscriber of the additional conditions that, on the Subscription Closing Date:</w:t>
      </w:r>
    </w:p>
    <w:p>
      <w:pPr>
        <w:spacing w:after="0" w:line="67" w:lineRule="exact"/>
        <w:rPr>
          <w:rFonts w:ascii="Times New Roman" w:cs="Times New Roman" w:eastAsia="Times New Roman" w:hAnsi="Times New Roman"/>
          <w:sz w:val="18"/>
          <w:szCs w:val="18"/>
          <w:color w:val="auto"/>
        </w:rPr>
      </w:pPr>
    </w:p>
    <w:p>
      <w:pPr>
        <w:ind w:left="1400" w:right="60" w:hanging="439"/>
        <w:spacing w:after="0" w:line="254"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Apollomics contained in this Subscription Agreement shall be true and correct in all material respects (other than representations and warranties that are qualified as to materiality or Apollomics Material Adverse Effect (as defined herein), which representations and warranties shall be true and correct in all respects) at and as of the Closing (except for representations and warranties that speak as of a specific date, which shall be true and correct in all material respects as of such date (other than representations and warranties that are qualified as to materiality or Apollomics Material Adverse Effect, which representations and warranties shall be true and correct in all respects) as of such date), and consummation of the transactions contemplated herein shall constitute a reaffirmation by Apollomics of each of the representations, warranties and agreements of Apollomics contained in this Subscription Agreement as of the Closing;</w:t>
      </w:r>
    </w:p>
    <w:p>
      <w:pPr>
        <w:spacing w:after="0" w:line="97" w:lineRule="exact"/>
        <w:rPr>
          <w:rFonts w:ascii="Times New Roman" w:cs="Times New Roman" w:eastAsia="Times New Roman" w:hAnsi="Times New Roman"/>
          <w:sz w:val="18"/>
          <w:szCs w:val="18"/>
          <w:color w:val="auto"/>
        </w:rPr>
      </w:pPr>
    </w:p>
    <w:p>
      <w:pPr>
        <w:ind w:left="1400" w:right="42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performed, satisfied and complied in all material respects with all covenants, agreements and conditions required by this Subscription Agreement to be performed, satisfied or complied with by it at or prior to the Closing;</w:t>
      </w:r>
    </w:p>
    <w:p>
      <w:pPr>
        <w:spacing w:after="0" w:line="63" w:lineRule="exact"/>
        <w:rPr>
          <w:rFonts w:ascii="Times New Roman" w:cs="Times New Roman" w:eastAsia="Times New Roman" w:hAnsi="Times New Roman"/>
          <w:sz w:val="18"/>
          <w:szCs w:val="18"/>
          <w:color w:val="auto"/>
        </w:rPr>
      </w:pPr>
    </w:p>
    <w:p>
      <w:pPr>
        <w:ind w:left="1400" w:right="60" w:hanging="439"/>
        <w:spacing w:after="0" w:line="268"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submitted to The Nasdaq Stock Market, LLC (the “</w:t>
      </w:r>
      <w:r>
        <w:rPr>
          <w:rFonts w:ascii="Times New Roman" w:cs="Times New Roman" w:eastAsia="Times New Roman" w:hAnsi="Times New Roman"/>
          <w:sz w:val="18"/>
          <w:szCs w:val="18"/>
          <w:b w:val="1"/>
          <w:bCs w:val="1"/>
          <w:u w:val="single" w:color="auto"/>
          <w:color w:val="auto"/>
        </w:rPr>
        <w:t>Stock Exchange</w:t>
      </w:r>
      <w:r>
        <w:rPr>
          <w:rFonts w:ascii="Times New Roman" w:cs="Times New Roman" w:eastAsia="Times New Roman" w:hAnsi="Times New Roman"/>
          <w:sz w:val="18"/>
          <w:szCs w:val="18"/>
          <w:color w:val="auto"/>
        </w:rPr>
        <w:t>”) a Notification Form: Listing of Additional Shares for the listing of the Subscribed Shares and Other Subscribed Shares and the Stock Exchange shall have raised no objections to the consummation of the Closing.</w:t>
      </w:r>
    </w:p>
    <w:p>
      <w:pPr>
        <w:spacing w:after="0" w:line="174"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at the Closing, Subscriber shall execute and deliver or cause to be executed and delivered all such other documents, instruments and information as is reasonably requested by Apollomics in order for Apollomics to issue the Subscribed Shares to Subscriber, including a duly completed and executed Internal Revenue Service Form W-9 or appropriate Form W-8.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7" w:name="page8"/>
    <w:bookmarkEnd w:id="7"/>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Apollomics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Apollomics represents and warrants to Subscriber that, except as otherwise expressly contemplated by the reports, schedules, forms, statements and other documents filed or furnished by Apollomics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including pursuant to Section 13(a) or 15(d) thereof, during the one-year period preceding the date hereof (collectively, the “</w:t>
      </w:r>
      <w:r>
        <w:rPr>
          <w:rFonts w:ascii="Times New Roman" w:cs="Times New Roman" w:eastAsia="Times New Roman" w:hAnsi="Times New Roman"/>
          <w:sz w:val="18"/>
          <w:szCs w:val="18"/>
          <w:b w:val="1"/>
          <w:bCs w:val="1"/>
          <w:u w:val="single" w:color="auto"/>
          <w:color w:val="auto"/>
        </w:rPr>
        <w:t>SEC Filings</w:t>
      </w:r>
      <w:r>
        <w:rPr>
          <w:rFonts w:ascii="Times New Roman" w:cs="Times New Roman" w:eastAsia="Times New Roman" w:hAnsi="Times New Roman"/>
          <w:sz w:val="18"/>
          <w:szCs w:val="18"/>
          <w:color w:val="auto"/>
        </w:rPr>
        <w:t>”), which qualify these representations and warranties in their entirety:</w:t>
      </w:r>
    </w:p>
    <w:p>
      <w:pPr>
        <w:spacing w:after="0" w:line="77" w:lineRule="exact"/>
        <w:rPr>
          <w:sz w:val="20"/>
          <w:szCs w:val="20"/>
          <w:color w:val="auto"/>
        </w:rPr>
      </w:pPr>
    </w:p>
    <w:p>
      <w:pPr>
        <w:ind w:right="20" w:firstLine="436"/>
        <w:spacing w:after="0" w:line="25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(i) is duly organized, validly existing and in good standing under the laws of the Cayman Islands, (ii) has the requisite corporate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an Apollomics Material Adverse Effect. For purposes of this Subscription Agreement, an “</w:t>
      </w:r>
      <w:r>
        <w:rPr>
          <w:rFonts w:ascii="Times New Roman" w:cs="Times New Roman" w:eastAsia="Times New Roman" w:hAnsi="Times New Roman"/>
          <w:sz w:val="18"/>
          <w:szCs w:val="18"/>
          <w:b w:val="1"/>
          <w:bCs w:val="1"/>
          <w:u w:val="single" w:color="auto"/>
          <w:color w:val="auto"/>
        </w:rPr>
        <w:t>Apollomics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Adverse Effect</w:t>
      </w:r>
      <w:r>
        <w:rPr>
          <w:rFonts w:ascii="Times New Roman" w:cs="Times New Roman" w:eastAsia="Times New Roman" w:hAnsi="Times New Roman"/>
          <w:sz w:val="18"/>
          <w:szCs w:val="18"/>
          <w:color w:val="auto"/>
        </w:rPr>
        <w:t>” means an event, change, development, occurrence, condition or effect with respect to Apollomics and its subsidiaries, taken together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whole (on a consolidated basis), that, individually or in the aggregate, would reasonably be expected to have a material adverse effect on Apollomics’ ability to consummate the transactions contemplated hereby, including the issuance and sale of the Subscribed Shares.</w:t>
      </w:r>
    </w:p>
    <w:p>
      <w:pPr>
        <w:spacing w:after="0" w:line="188"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Subscription Closing Date, the Subscribed Shares will be duly authorized and, when issued and delivered to Subscriber against full payment therefor in accordance with the terms of this Subscription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Apollomics, and, assuming the due authorization, execution and delivery of the same by Subscriber, this Subscription Agreement shall constitute the valid and legally binding obligation of Apollomics, enforceable against Apollomics in accordance with its terms, except as such enforceability may be limited by bankruptcy, insolvency, reorganization, moratorium and similar laws affecting the rights of creditors generally and by the availability of equitable remedies.</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Apollomics consists of 500,000,000 Class A ordinary shares, par value $0.0001 per share, 100,000,000 Class B ordinary shares, par value $0.0001 per share, and 50,000,000 preference shares, par value $0.0001 per share, of which 3,000,000 are designated as Series A Preferred Shares. Apollomics’ issued and outstanding share capital is as set forth in the most recent SEC Filing containing such disclosure as of the date indicated in such SEC Filing (except for subsequent issuances, if any, pursuant to this Subscription Agreement and the Other Subscription Agreements or pursuant to reservations, agreements or employee benefit plans, in each case, referred to in the SEC Filings, pursuant to the exercise of convertible securities or options or the vesting of future awards referred to in the SEC Filings).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8" w:name="page9"/>
    <w:bookmarkEnd w:id="8"/>
    <w:p>
      <w:pPr>
        <w:ind w:left="-60" w:right="60" w:firstLine="436"/>
        <w:spacing w:after="0" w:line="254" w:lineRule="auto"/>
        <w:tabs>
          <w:tab w:leader="none" w:pos="6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Assuming the accuracy of the representations and warranties of Subscriber, the execution and delivery of this Subscription Agreement, the issuance and sale of the Subscribed Shares and the compliance by Apollomics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Apollomics pursuant to the terms of (i) any indenture, mortgage, deed of trust, loan agreement, lease, license or other agreement or instrument to which Apollomics is a party or by which Apollomics is bound or to which any of the property or assets of Apollomics is subject; (ii) Apollomics’ sixth amended and restated memorandum and articles of association; or (iii) any statute or any judgment, order, rule or regulation of any court or Governmental Authority or body, domestic or foreign, having jurisdiction over Apollomics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an Apollomics Material Adverse Effect.</w:t>
      </w:r>
    </w:p>
    <w:p>
      <w:pPr>
        <w:spacing w:after="0" w:line="188" w:lineRule="exact"/>
        <w:rPr>
          <w:rFonts w:ascii="Times New Roman" w:cs="Times New Roman" w:eastAsia="Times New Roman" w:hAnsi="Times New Roman"/>
          <w:sz w:val="18"/>
          <w:szCs w:val="18"/>
          <w:color w:val="auto"/>
        </w:rPr>
      </w:pPr>
    </w:p>
    <w:p>
      <w:pPr>
        <w:ind w:left="-60" w:right="100" w:firstLine="436"/>
        <w:spacing w:after="0" w:line="256" w:lineRule="auto"/>
        <w:tabs>
          <w:tab w:leader="none" w:pos="6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Subscriber, Apollomics is not required to obtain any consent, waiver, authorization or order of, give any notice to, or make any filing or registration with, any court or U.S. federal, state, local or other Governmental Authority, self-regulatory organization or other person in connection with the execution, delivery and performance by Apollomics of this Subscription Agreement (including, without limitation, the issuance of the Subscribed Shares), other than (i) filings required by applicable local or U.S. state securities laws, (ii) filings required by the Stock Exchange in connection with the listing of the Subscribed Shares, and (iii) filings, the failure of which to obtain would not be reasonably likely to have, individually or in the aggregate, an Apollomics Material Adverse Effect.</w:t>
      </w:r>
    </w:p>
    <w:p>
      <w:pPr>
        <w:spacing w:after="0" w:line="187" w:lineRule="exact"/>
        <w:rPr>
          <w:rFonts w:ascii="Times New Roman" w:cs="Times New Roman" w:eastAsia="Times New Roman" w:hAnsi="Times New Roman"/>
          <w:sz w:val="18"/>
          <w:szCs w:val="18"/>
          <w:color w:val="auto"/>
        </w:rPr>
      </w:pPr>
    </w:p>
    <w:p>
      <w:pPr>
        <w:ind w:left="-60" w:right="200" w:firstLine="436"/>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has timely filed all SEC Filings. At the time of filing thereof, the SEC Filings conformed in all material respects to the requirements of the Securities Act or the Exchange Act, as applicable, and the rules and regulations of the U.S.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thereunder and none of the SEC Filings, as of their respective dates, contained an untrue statement of a material fact or omitted to state a material fact required to be stated therein or necessary to make the statements therein not misleading.</w:t>
      </w:r>
    </w:p>
    <w:p>
      <w:pPr>
        <w:spacing w:after="0" w:line="179" w:lineRule="exact"/>
        <w:rPr>
          <w:rFonts w:ascii="Times New Roman" w:cs="Times New Roman" w:eastAsia="Times New Roman" w:hAnsi="Times New Roman"/>
          <w:sz w:val="18"/>
          <w:szCs w:val="18"/>
          <w:color w:val="auto"/>
        </w:rPr>
      </w:pPr>
    </w:p>
    <w:p>
      <w:pPr>
        <w:ind w:left="-60" w:firstLine="436"/>
        <w:spacing w:after="0" w:line="25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the SEC Filings, Apollomics is in compliance with applicable Stock Exchange continued listing requirements. The issued and outstanding Ordinary Shares are registered pursuant to Section 12(b) of the Exchange Act and are listed for trading on the Stock Exchange under the symbol “APLM.” Other than as disclosed in the SEC Filings, there is no suit, action, proceeding or investigation pending or, to the knowledge of Apollomics, threatened against Apollomics by the Stock Exchange or the SEC with respect to any intention by such entity to deregister the Ordinary Shares or prohibit or terminate the listing of the Ordinary Shares on the Stock Exchange. Apollomics has taken no action that is designed to, or is reasonably likely to, terminate the registration of the Ordinary Shares under the Exchange Act.</w:t>
      </w:r>
    </w:p>
    <w:p>
      <w:pPr>
        <w:spacing w:after="0" w:line="187" w:lineRule="exact"/>
        <w:rPr>
          <w:rFonts w:ascii="Times New Roman" w:cs="Times New Roman" w:eastAsia="Times New Roman" w:hAnsi="Times New Roman"/>
          <w:sz w:val="18"/>
          <w:szCs w:val="18"/>
          <w:color w:val="auto"/>
        </w:rPr>
      </w:pPr>
    </w:p>
    <w:p>
      <w:pPr>
        <w:ind w:left="-60" w:right="20" w:firstLine="436"/>
        <w:spacing w:after="0" w:line="266" w:lineRule="auto"/>
        <w:tabs>
          <w:tab w:leader="none" w:pos="5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an Apollomics Material Adverse Effect, there is no (i) suit, action, proceeding or arbitration before a Governmental Authority or arbitrator pending, or, to the knowledge of Apollomics, threatened in writing against Apollomics or (ii) judgment, decree, injunction, ruling or order of any Governmental Authority or arbitrator outstanding against Apollomics.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70" w:right="499" w:bottom="1440" w:gutter="0" w:footer="0" w:header="0"/>
        </w:sectPr>
      </w:pPr>
    </w:p>
    <w:bookmarkStart w:id="9" w:name="page10"/>
    <w:bookmarkEnd w:id="9"/>
    <w:p>
      <w:pPr>
        <w:ind w:left="4" w:right="80" w:firstLine="436"/>
        <w:spacing w:after="0" w:line="267" w:lineRule="auto"/>
        <w:tabs>
          <w:tab w:leader="none" w:pos="65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disclosed in the SEC Filings or as would not reasonably be expected, individually or in the aggregate, to have an Apollomics Material Adverse Effect, (i) to the knowledge of Apollomics, Apollomics and its subsidiaries own, or have a license to, all patents, patent applications, patent rights,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 w:cs="Times New Roman" w:eastAsia="Times New Roman" w:hAnsi="Times New Roman"/>
          <w:sz w:val="17"/>
          <w:szCs w:val="17"/>
          <w:b w:val="1"/>
          <w:bCs w:val="1"/>
          <w:u w:val="single" w:color="auto"/>
          <w:color w:val="auto"/>
        </w:rPr>
        <w:t>Apollomics Intellectual Property</w:t>
      </w:r>
      <w:r>
        <w:rPr>
          <w:rFonts w:ascii="Times New Roman" w:cs="Times New Roman" w:eastAsia="Times New Roman" w:hAnsi="Times New Roman"/>
          <w:sz w:val="17"/>
          <w:szCs w:val="17"/>
          <w:color w:val="auto"/>
        </w:rPr>
        <w:t>”) currently used in the conduct of their respective businesses, free and clear of all liens, security interests or encumbrances and such Apollomics Intellectual Property is subsisting and unexpired, and to the knowledge of Apollomics, valid, enforceable, and free of material defects; (ii) to the knowledge of Apollomics, Apollomics’ and its subsidiaries’ conduct of their respective businesses does not infringe, misappropriate or otherwise violate any intellectual property or contractual rights of any person; (iii) Apollomics and its subsidiaries have not received any written notice of any claim relating to Apollomics Intellectual Property;</w:t>
      </w:r>
    </w:p>
    <w:p>
      <w:pPr>
        <w:spacing w:after="0" w:line="5" w:lineRule="exact"/>
        <w:rPr>
          <w:rFonts w:ascii="Times New Roman" w:cs="Times New Roman" w:eastAsia="Times New Roman" w:hAnsi="Times New Roman"/>
          <w:sz w:val="17"/>
          <w:szCs w:val="17"/>
          <w:color w:val="auto"/>
        </w:rPr>
      </w:pPr>
    </w:p>
    <w:p>
      <w:pPr>
        <w:ind w:left="4" w:right="20" w:hanging="4"/>
        <w:spacing w:after="0" w:line="251" w:lineRule="auto"/>
        <w:tabs>
          <w:tab w:leader="none" w:pos="3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Apollomics, the Apollomics Intellectual Property and its subsidiaries is not being infringed, misappropriated or otherwise violated by any person; (v) there are no actions pending, or to the knowledge of Apollomics, threatened against Apollomics or its subsidiaries relating to Apollomics Intellectual Property; (vi) to the knowledge of Apollomics, Apollomics and its subsidiaries have complied in all material respects with the terms of each agreement pursuant to which Apollomics Intellectual Property has been licensed to Apollomics or its subsidiaries, as applicable, and, to Apollomics’ knowledge, all such agreements are in full force and effect; and (vii) to the knowledge of Apollomics, Apollomics and its subsidiaries have taken all reasonable steps to protect, maintain and safeguard Apollomics Intellectual Property and to require all employees and contractors (A) with access to trade secrets and confidential information to execute non-disclosure and confidentiality agreements with Apollomics or its subsidiaries, as applicable, and (B) who have been involved in the creation, invention or development of material Apollomics Intellectual Property for or on behalf of Apollomics to assign in writing to Apollomics or its subsidiaries, as applicable, all of their rights therein.</w:t>
      </w:r>
    </w:p>
    <w:p>
      <w:pPr>
        <w:spacing w:after="0" w:line="193"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Apollomics, the preclinical tests and clinical trials conducted by or on behalf of Apollomics, or in which Apollomics’ product candidates have participated, including those that are described in, or the results of which are referred to in, the SEC Filings, were and, if still pending, are being and have been conducted in all material respects in accordance with all applicable laws, rules, and regulations of the U.S. Food and Drug Administration and comparable regulatory agencies outside of the United States to which they are subject (collectively, the “</w:t>
      </w:r>
      <w:r>
        <w:rPr>
          <w:rFonts w:ascii="Times New Roman" w:cs="Times New Roman" w:eastAsia="Times New Roman" w:hAnsi="Times New Roman"/>
          <w:sz w:val="18"/>
          <w:szCs w:val="18"/>
          <w:b w:val="1"/>
          <w:bCs w:val="1"/>
          <w:u w:val="single" w:color="auto"/>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Agencies</w:t>
      </w:r>
      <w:r>
        <w:rPr>
          <w:rFonts w:ascii="Times New Roman" w:cs="Times New Roman" w:eastAsia="Times New Roman" w:hAnsi="Times New Roman"/>
          <w:sz w:val="18"/>
          <w:szCs w:val="18"/>
          <w:color w:val="auto"/>
        </w:rPr>
        <w:t>”); each description of such tests and trials, and the results thereof, contained in the SEC Filings is accurate and complete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and fairly presents the data about and derived from such tests and trials, and Apollomics has no knowledge of any other studies or tests the results of which are inconsistent with, or otherwise call into question, the results described or referred to in the SEC Filings; and Apollomics has not received any notices or other correspondence from any Regulatory Agency requiring the termination, suspension or material adverse modification of any preclinical tests or clinical trials that are, or whose results of which are, described or referred to in the SEC Filings.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0" w:name="page11"/>
    <w:bookmarkEnd w:id="10"/>
    <w:p>
      <w:pPr>
        <w:ind w:left="-20" w:right="100" w:firstLine="436"/>
        <w:spacing w:after="0" w:line="253"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Apollomics, Apollomics and its directors, officers, employees and agents are in compliance in all material respects with all applicable Health Care Laws (as defined below), and have not engaged in activities which are, as applicable, cause for false claims liability, civil penalties, or mandatory or permissive exclusion from Medicare, Medicaid, or any other state, provincial, or federal health care program. “</w:t>
      </w:r>
      <w:r>
        <w:rPr>
          <w:rFonts w:ascii="Times New Roman" w:cs="Times New Roman" w:eastAsia="Times New Roman" w:hAnsi="Times New Roman"/>
          <w:sz w:val="18"/>
          <w:szCs w:val="18"/>
          <w:b w:val="1"/>
          <w:bCs w:val="1"/>
          <w:u w:val="single" w:color="auto"/>
          <w:color w:val="auto"/>
        </w:rPr>
        <w:t>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Laws</w:t>
      </w:r>
      <w:r>
        <w:rPr>
          <w:rFonts w:ascii="Times New Roman" w:cs="Times New Roman" w:eastAsia="Times New Roman" w:hAnsi="Times New Roman"/>
          <w:sz w:val="18"/>
          <w:szCs w:val="18"/>
          <w:color w:val="auto"/>
        </w:rPr>
        <w:t>” means the laws and regulations of the Regulatory Agencies and any other similar local, state, provincial, or federal law. Apollomics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any FDA Form 483, notice of adverse finding, warning letter, untitled letter or other correspondence or notice from the U.S. Food and Drug Administration or any other Regulatory Agency alleging or asserting noncompliance with any Health Care Laws applicable to Apollomics or its subsidiaries. Additionally, to the knowledge of Apollomics, Apollomics is not a party to nor has any ongoing reporting obligations pursuant to any corporate integrity agreements, deferred prosecution agreements, monitoring agreements, consent decrees, settlement orders, plans of correction or similar agreements with or imposed by any Regulatory Agency. To the knowledge of Apollomics, none of Apollomics nor any of its respective employees, officers or directors, or agents has been excluded, suspended or debarred from participation in any U.S. federal health care program or human clinical research or, to the knowledge of Apollomics, is subject to a governmental inquiry, investigation, proceeding, or other similar action that could reasonably be expected to result in debarment, suspension, or exclusion.</w:t>
      </w:r>
    </w:p>
    <w:p>
      <w:pPr>
        <w:spacing w:after="0" w:line="189"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7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Apollomics nor any person acting on its behalf has engaged or will engage in any form of general solicitation or general advertising (within the meaning of Regulation D under the Securities Act) in connection with any offer or sale of the Subscribed Shares. Assuming the accuracy of the undersigned’s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undersigned’s compliance with its obligations set forth in this Subscription Agreement, no registration under the Securities Act is required for the offer and sale of the Subscribed Shares to the undersigned hereunder.</w:t>
      </w:r>
    </w:p>
    <w:p>
      <w:pPr>
        <w:spacing w:after="0" w:line="183" w:lineRule="exact"/>
        <w:rPr>
          <w:rFonts w:ascii="Times New Roman" w:cs="Times New Roman" w:eastAsia="Times New Roman" w:hAnsi="Times New Roman"/>
          <w:sz w:val="18"/>
          <w:szCs w:val="18"/>
          <w:color w:val="auto"/>
        </w:rPr>
      </w:pPr>
    </w:p>
    <w:p>
      <w:pPr>
        <w:ind w:left="-20" w:right="520" w:firstLine="436"/>
        <w:spacing w:after="0" w:line="282" w:lineRule="auto"/>
        <w:tabs>
          <w:tab w:leader="none" w:pos="6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is not, and immediately after receipt of payment for the Subscribed Shares will not be, an “investment company” within the meaning of the Investment Company Act of 1940, as amended.</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Apollomics that:</w:t>
      </w:r>
    </w:p>
    <w:p>
      <w:pPr>
        <w:spacing w:after="0" w:line="119" w:lineRule="exact"/>
        <w:rPr>
          <w:sz w:val="20"/>
          <w:szCs w:val="20"/>
          <w:color w:val="auto"/>
        </w:rPr>
      </w:pPr>
    </w:p>
    <w:p>
      <w:pPr>
        <w:ind w:left="-20" w:right="100" w:firstLine="436"/>
        <w:spacing w:after="0" w:line="261" w:lineRule="auto"/>
        <w:tabs>
          <w:tab w:leader="none" w:pos="6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 legal entity, Subscriber (i) is duly organized, validly existing and in good standing under the laws of its jurisdiction of incorporation or organization and (ii) has the requisite power and authority to enter into, deliver and perform its obligations under this Subscription Agreement. If Subscriber is an individual, Subscriber has the legal competence and capacity to enter into, deliver and perform its obligations under this Subscription Agreement.</w:t>
      </w:r>
    </w:p>
    <w:p>
      <w:pPr>
        <w:spacing w:after="0" w:line="179"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 legal entity, this Subscription Agreement has been duly authorized, executed and delivered by Subscriber. If Subscriber is an individual, Subscriber’s signature is genuine and the signatory has the legal competence and capacity to execute this Subscription Agreement. Assuming the due authorization, execution and delivery of the same by Apollomics,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1" w:name="page12"/>
    <w:bookmarkEnd w:id="11"/>
    <w:p>
      <w:pPr>
        <w:ind w:left="-20" w:firstLine="436"/>
        <w:spacing w:after="0" w:line="253"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execution, delivery and performance by Subscriber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if Subscriber is a legal entity, the organizational documents of Subscriber; or (iii) any statute or any judgment, order, rule or regulation of any court or Governmental Authority or body, domestic or foreign, having jurisdiction over Subscriber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Subscriber Material Adverse Effect. For purposes of this Subscription Agreement, a “</w:t>
      </w:r>
      <w:r>
        <w:rPr>
          <w:rFonts w:ascii="Times New Roman" w:cs="Times New Roman" w:eastAsia="Times New Roman" w:hAnsi="Times New Roman"/>
          <w:sz w:val="18"/>
          <w:szCs w:val="18"/>
          <w:b w:val="1"/>
          <w:bCs w:val="1"/>
          <w:u w:val="single" w:color="auto"/>
          <w:color w:val="auto"/>
        </w:rPr>
        <w:t>Subscriber Material Adverse Effect</w:t>
      </w:r>
      <w:r>
        <w:rPr>
          <w:rFonts w:ascii="Times New Roman" w:cs="Times New Roman" w:eastAsia="Times New Roman" w:hAnsi="Times New Roman"/>
          <w:sz w:val="18"/>
          <w:szCs w:val="18"/>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9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(i) is a “qualified institutional buyer” (as defined in Rule 144A under the Securities Act) or an institutional “accredited investor” (within the meaning of Rule 501(a) under the Securities Act), (ii) is acquiring the Subscribed Shares only for its own account and not for the account of others, or, if Subscriber is subscribing for the Subscribed Shares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Apollomics with the requested information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 Subscriber is not an entity formed for the specific purpose of acquiring the Subscribed Shares, unless such newly formed entity is an entity in which all of the equity owners are accredited investors and is an “institutional account” as defined by FINRA Rule 4512(c).</w:t>
      </w:r>
    </w:p>
    <w:p>
      <w:pPr>
        <w:spacing w:after="0" w:line="188" w:lineRule="exact"/>
        <w:rPr>
          <w:rFonts w:ascii="Times New Roman" w:cs="Times New Roman" w:eastAsia="Times New Roman" w:hAnsi="Times New Roman"/>
          <w:sz w:val="18"/>
          <w:szCs w:val="18"/>
          <w:color w:val="auto"/>
        </w:rPr>
      </w:pPr>
    </w:p>
    <w:p>
      <w:pPr>
        <w:ind w:left="-20" w:right="60" w:firstLine="436"/>
        <w:spacing w:after="0" w:line="273" w:lineRule="auto"/>
        <w:tabs>
          <w:tab w:leader="none" w:pos="66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Subscriber understands that the Subscribed Shares are being offered in a transaction not involving any public offering within the meaning of the Securities Act and that the Subscribed Shares have not been registered under the Securities Act and that Apollomics is not required to register the Subscribed Shares except as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Subscriber understands that the Subscribed Shares may not be offered, resold, transferred, pledged or otherwise disposed of by Subscriber absent an effective registration statement under the Securities Act, except (i) to Apollomics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12" w:name="page13"/>
    <w:bookmarkEnd w:id="1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for an indefinite period of time. Subscriber acknowledges and agrees that the Subscribed Shares will not be initially eligible for offer, resale, transfer, pledge or disposition pursuant to Rule 144 promulgated under the Securities Act (“</w:t>
      </w:r>
      <w:r>
        <w:rPr>
          <w:rFonts w:ascii="Times New Roman" w:cs="Times New Roman" w:eastAsia="Times New Roman" w:hAnsi="Times New Roman"/>
          <w:sz w:val="18"/>
          <w:szCs w:val="18"/>
          <w:b w:val="1"/>
          <w:bCs w:val="1"/>
          <w:u w:val="single" w:color="auto"/>
          <w:color w:val="auto"/>
        </w:rPr>
        <w:t>Rule 144</w:t>
      </w:r>
      <w:r>
        <w:rPr>
          <w:rFonts w:ascii="Times New Roman" w:cs="Times New Roman" w:eastAsia="Times New Roman" w:hAnsi="Times New Roman"/>
          <w:sz w:val="18"/>
          <w:szCs w:val="18"/>
          <w:color w:val="auto"/>
        </w:rPr>
        <w:t>”). Subscriber understands that it has been advised to consult legal counsel prior to making any offer, resale, pledge or transfer of any of the Subscribed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Subscriber understands that each book entry for the Subscribed Shares shall contain a notation in substantially the following form:</w:t>
      </w:r>
    </w:p>
    <w:p>
      <w:pPr>
        <w:spacing w:after="0" w:line="117" w:lineRule="exact"/>
        <w:rPr>
          <w:sz w:val="20"/>
          <w:szCs w:val="20"/>
          <w:color w:val="auto"/>
        </w:rPr>
      </w:pPr>
    </w:p>
    <w:p>
      <w:pPr>
        <w:ind w:left="440" w:right="60"/>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68" w:lineRule="exact"/>
        <w:rPr>
          <w:sz w:val="20"/>
          <w:szCs w:val="20"/>
          <w:color w:val="auto"/>
        </w:rPr>
      </w:pPr>
    </w:p>
    <w:p>
      <w:pPr>
        <w:ind w:left="440" w:hanging="4"/>
        <w:spacing w:after="0" w:line="276" w:lineRule="auto"/>
        <w:tabs>
          <w:tab w:leader="none" w:pos="6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APOLLOMICS INC. (THE “COMPANY”) THAT IT WILL NOT OFFER, SELL, PLEDGE OR OTHERWISE TRANSFER THIS SECURITY OR ANY BENEFICIAL INTEREST HEREIN PRIOR TO THE DATE THAT IS THE LATER OF</w:t>
      </w:r>
    </w:p>
    <w:p>
      <w:pPr>
        <w:ind w:left="440" w:right="5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SUCH PERIOD OF TIME AS PERMITTED BY RULE 144 UNDER THE SECURITIES ACT OR ANY SUCCESSOR PROVISION THERETO AND (Y) SUCH LATER DATE, IF ANY, AS MAY BE REQUIRED BY APPLICABLE LAW, EXCEPT:</w:t>
      </w:r>
    </w:p>
    <w:p>
      <w:pPr>
        <w:spacing w:after="0" w:line="73" w:lineRule="exact"/>
        <w:rPr>
          <w:sz w:val="20"/>
          <w:szCs w:val="20"/>
          <w:color w:val="auto"/>
        </w:rPr>
      </w:pPr>
    </w:p>
    <w:p>
      <w:pPr>
        <w:ind w:left="740" w:hanging="304"/>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440" w:right="560" w:hanging="4"/>
        <w:spacing w:after="0" w:line="282" w:lineRule="auto"/>
        <w:tabs>
          <w:tab w:leader="none" w:pos="7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AND IS EFFECTIVE AT THE TIME OF SUCH TRANSFER, OR</w:t>
      </w:r>
    </w:p>
    <w:p>
      <w:pPr>
        <w:spacing w:after="0" w:line="53" w:lineRule="exact"/>
        <w:rPr>
          <w:rFonts w:ascii="Times New Roman" w:cs="Times New Roman" w:eastAsia="Times New Roman" w:hAnsi="Times New Roman"/>
          <w:sz w:val="18"/>
          <w:szCs w:val="18"/>
          <w:color w:val="auto"/>
        </w:rPr>
      </w:pPr>
    </w:p>
    <w:p>
      <w:pPr>
        <w:ind w:left="440" w:right="400" w:hanging="4"/>
        <w:spacing w:after="0" w:line="282" w:lineRule="auto"/>
        <w:tabs>
          <w:tab w:leader="none" w:pos="7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54" w:lineRule="exact"/>
        <w:rPr>
          <w:sz w:val="20"/>
          <w:szCs w:val="20"/>
          <w:color w:val="auto"/>
        </w:rPr>
      </w:pPr>
    </w:p>
    <w:p>
      <w:pPr>
        <w:ind w:left="440" w:right="180"/>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(1)(C)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3" w:name="page14"/>
    <w:bookmarkEnd w:id="13"/>
    <w:p>
      <w:pPr>
        <w:ind w:left="-40" w:firstLine="436"/>
        <w:spacing w:after="0" w:line="25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Subscriber understands and agrees that Subscriber is purchasing the Subscribed Shares directly from Apollomics. Subscriber further acknowledges that there have not been, and Subscriber hereby agrees that it is not relying on, any representations, warranties, covenants or agreements made to Subscriber by Apollomics, any of its affiliates or any control persons, officers, directors, employees, partners, agents or representatives, any other party to the transactions contemplated herein or any other person or entity, expressly or by implication, other than those representations, warranties, covenants and agreements of Apollomics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Subscriber acknowledges that certain information provided by Apollomics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further acknowledges that the information provided to Subscriber was preliminary and subject to change.</w:t>
      </w:r>
    </w:p>
    <w:p>
      <w:pPr>
        <w:spacing w:after="0" w:line="191" w:lineRule="exact"/>
        <w:rPr>
          <w:rFonts w:ascii="Times New Roman" w:cs="Times New Roman" w:eastAsia="Times New Roman" w:hAnsi="Times New Roman"/>
          <w:sz w:val="18"/>
          <w:szCs w:val="18"/>
          <w:color w:val="auto"/>
        </w:rPr>
      </w:pPr>
    </w:p>
    <w:p>
      <w:pPr>
        <w:jc w:val="both"/>
        <w:ind w:left="-40" w:firstLine="436"/>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its decision to purchase the Subscribed Shares, Subscriber has relied solely upon independent investigation made by Subscriber and the representations and warranties made by Apollomics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Subscriber acknowledges and agrees that Subscriber has received such information as Subscriber deems necessary in order to make an investment decision with respect to the Subscribed Shares, including with respect to Apollomics and the transactions contemplated herein.</w:t>
      </w:r>
    </w:p>
    <w:p>
      <w:pPr>
        <w:spacing w:after="0" w:line="179"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Without limiting the generality of the foregoing, the Subscriber acknowledges that it has reviewed the SEC Filings.</w:t>
      </w:r>
    </w:p>
    <w:p>
      <w:pPr>
        <w:spacing w:after="0" w:line="179"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(A) Apollomics currently may have, and later may come into possession of, information regarding Apollomics that is not known to Subscriber and that may be material to a decision to enter into this transaction (“</w:t>
      </w:r>
      <w:r>
        <w:rPr>
          <w:rFonts w:ascii="Times New Roman" w:cs="Times New Roman" w:eastAsia="Times New Roman" w:hAnsi="Times New Roman"/>
          <w:sz w:val="18"/>
          <w:szCs w:val="18"/>
          <w:b w:val="1"/>
          <w:bCs w:val="1"/>
          <w:u w:val="single" w:color="auto"/>
          <w:color w:val="auto"/>
        </w:rPr>
        <w:t>Excluded Information</w:t>
      </w:r>
      <w:r>
        <w:rPr>
          <w:rFonts w:ascii="Times New Roman" w:cs="Times New Roman" w:eastAsia="Times New Roman" w:hAnsi="Times New Roman"/>
          <w:sz w:val="18"/>
          <w:szCs w:val="18"/>
          <w:color w:val="auto"/>
        </w:rPr>
        <w:t>”), (B) Subscriber has determined to enter into this transaction notwithstanding its lack of knowledge of the Excluded Information, and (C) Apollomics shall not have liability to Subscriber, and Subscriber hereby to the extent permitted by law waives and releases any claims it may have against Apollomics with respect to the nondisclosure of the Excluded Information.</w:t>
      </w:r>
    </w:p>
    <w:p>
      <w:pPr>
        <w:spacing w:after="0" w:line="183" w:lineRule="exact"/>
        <w:rPr>
          <w:rFonts w:ascii="Times New Roman" w:cs="Times New Roman" w:eastAsia="Times New Roman" w:hAnsi="Times New Roman"/>
          <w:sz w:val="18"/>
          <w:szCs w:val="18"/>
          <w:color w:val="auto"/>
        </w:rPr>
      </w:pPr>
    </w:p>
    <w:p>
      <w:pPr>
        <w:ind w:left="-40" w:right="80" w:firstLine="436"/>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became aware of this offering of the Subscribed Shares solely by means of direct contact between Subscriber and Apollomics or one of its representatives or affiliates, or by means of contact from any placement agent engaged by Apollomics (each a “</w:t>
      </w:r>
      <w:r>
        <w:rPr>
          <w:rFonts w:ascii="Times New Roman" w:cs="Times New Roman" w:eastAsia="Times New Roman" w:hAnsi="Times New Roman"/>
          <w:sz w:val="18"/>
          <w:szCs w:val="18"/>
          <w:b w:val="1"/>
          <w:bCs w:val="1"/>
          <w:u w:val="single" w:color="auto"/>
          <w:color w:val="auto"/>
        </w:rPr>
        <w:t>Placement 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Placement Agents</w:t>
      </w:r>
      <w:r>
        <w:rPr>
          <w:rFonts w:ascii="Times New Roman" w:cs="Times New Roman" w:eastAsia="Times New Roman" w:hAnsi="Times New Roman"/>
          <w:sz w:val="18"/>
          <w:szCs w:val="18"/>
          <w:color w:val="auto"/>
        </w:rPr>
        <w:t>”), and the Subscribed Shares were offered to Subscriber solely by direct contact between Subscriber and the Apollomics (or its representative or affiliate) or the Placement Agents. Subscriber did not become aware of this offering of the Subscribed Shares, nor were the Subscribed Shares offered to Subscriber, by any other means. Subscriber acknowledges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70" w:right="499" w:bottom="1440" w:gutter="0" w:footer="0" w:header="0"/>
        </w:sectPr>
      </w:pPr>
    </w:p>
    <w:bookmarkStart w:id="14" w:name="page15"/>
    <w:bookmarkEnd w:id="14"/>
    <w:p>
      <w:pPr>
        <w:ind w:right="20" w:firstLine="436"/>
        <w:spacing w:after="0" w:line="25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Subscriber acknowledges that it is aware that there are substantial risks incident to the purchase and ownership of the Subscribed Shares, including those set forth in Apollomics’ filings with the SEC.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Neither Apollomics nor any of its affiliates nor the Placement Agents have offered Subscriber any tax advice relating to Subscriber’s investment in the Subscribed Shares, or made any representations, warranties or guarantees regarding the tax consequences of Subscriber’s investment in the Subscribed Shares.</w:t>
      </w:r>
    </w:p>
    <w:p>
      <w:pPr>
        <w:spacing w:after="0" w:line="187" w:lineRule="exact"/>
        <w:rPr>
          <w:rFonts w:ascii="Times New Roman" w:cs="Times New Roman" w:eastAsia="Times New Roman" w:hAnsi="Times New Roman"/>
          <w:sz w:val="18"/>
          <w:szCs w:val="18"/>
          <w:color w:val="auto"/>
        </w:rPr>
      </w:pPr>
    </w:p>
    <w:p>
      <w:pPr>
        <w:ind w:right="140" w:firstLine="436"/>
        <w:spacing w:after="0" w:line="261" w:lineRule="auto"/>
        <w:tabs>
          <w:tab w:leader="none" w:pos="7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Apollomics. Subscriber acknowledges specifically that a possibility of total loss exists.</w:t>
      </w:r>
    </w:p>
    <w:p>
      <w:pPr>
        <w:spacing w:after="0" w:line="179"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or any other government or Governmental Authority (whether foreign or domestic) has passed upon or endorsed the merits of the offering of the Subscribed Shares or made any findings or determination as to the fairness of this investment.</w:t>
      </w:r>
    </w:p>
    <w:p>
      <w:pPr>
        <w:spacing w:after="0" w:line="175" w:lineRule="exact"/>
        <w:rPr>
          <w:rFonts w:ascii="Times New Roman" w:cs="Times New Roman" w:eastAsia="Times New Roman" w:hAnsi="Times New Roman"/>
          <w:sz w:val="18"/>
          <w:szCs w:val="18"/>
          <w:color w:val="auto"/>
        </w:rPr>
      </w:pPr>
    </w:p>
    <w:p>
      <w:pPr>
        <w:ind w:firstLine="436"/>
        <w:spacing w:after="0" w:line="268" w:lineRule="auto"/>
        <w:tabs>
          <w:tab w:leader="none" w:pos="69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is not, and is not owned or controlled by or acting on behalf of (in connection with the transactions contemplated hereby), a Sanctioned Person. Subscriber is not a non-U.S. shell bank or providing banking services to a non-U.S. shell bank.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7"/>
          <w:szCs w:val="17"/>
          <w:b w:val="1"/>
          <w:bCs w:val="1"/>
          <w:u w:val="single" w:color="auto"/>
          <w:color w:val="auto"/>
        </w:rPr>
        <w:t>BSA/PATRIOT Act</w:t>
      </w:r>
      <w:r>
        <w:rPr>
          <w:rFonts w:ascii="Times New Roman" w:cs="Times New Roman" w:eastAsia="Times New Roman" w:hAnsi="Times New Roman"/>
          <w:sz w:val="17"/>
          <w:szCs w:val="17"/>
          <w:color w:val="auto"/>
        </w:rPr>
        <w:t>”), that Subscriber maintains policies and procedures reasonably designed to comply with applicable obligations under the BSA/PATRIOT Act. Subscriber also represents that, to the extent required by applicable law, it maintains, either directly or through the use of a third-party administrator, policies and procedures reasonably designed for the screening of any investors against Sanctions-related lists of blocked or restricted persons. Subscriber further represents and warrants that the funds held by Subscriber and used to purchase the Subscribed Shares are derived from lawful activities. For purposes of this Subscription Agreement, “</w:t>
      </w:r>
      <w:r>
        <w:rPr>
          <w:rFonts w:ascii="Times New Roman" w:cs="Times New Roman" w:eastAsia="Times New Roman" w:hAnsi="Times New Roman"/>
          <w:sz w:val="17"/>
          <w:szCs w:val="17"/>
          <w:b w:val="1"/>
          <w:bCs w:val="1"/>
          <w:u w:val="single" w:color="auto"/>
          <w:color w:val="auto"/>
        </w:rPr>
        <w:t>Sanctioned Person</w:t>
      </w:r>
      <w:r>
        <w:rPr>
          <w:rFonts w:ascii="Times New Roman" w:cs="Times New Roman" w:eastAsia="Times New Roman" w:hAnsi="Times New Roman"/>
          <w:sz w:val="17"/>
          <w:szCs w:val="17"/>
          <w:color w:val="auto"/>
        </w:rPr>
        <w:t>” means at any time any person or entity: (i) listed on any Sanctions-related list of designated or blocked or restricted persons, (ii) that is a national of, the government of, or any agency or instrumentality of the government of, or resident in, or organized under the laws of, a country or territory that is the target of comprehensive Sanctions from time to time (as of the date of this Subscription Agreement, Cuba, Iran, North Korea, Syria, and the Crimea region) or (iii) owned or controlled by or acting on behalf of any of the foregoing. “</w:t>
      </w:r>
      <w:r>
        <w:rPr>
          <w:rFonts w:ascii="Times New Roman" w:cs="Times New Roman" w:eastAsia="Times New Roman" w:hAnsi="Times New Roman"/>
          <w:sz w:val="17"/>
          <w:szCs w:val="17"/>
          <w:b w:val="1"/>
          <w:bCs w:val="1"/>
          <w:u w:val="single" w:color="auto"/>
          <w:color w:val="auto"/>
        </w:rPr>
        <w:t>Sanctions</w:t>
      </w:r>
      <w:r>
        <w:rPr>
          <w:rFonts w:ascii="Times New Roman" w:cs="Times New Roman" w:eastAsia="Times New Roman" w:hAnsi="Times New Roman"/>
          <w:sz w:val="17"/>
          <w:szCs w:val="17"/>
          <w:color w:val="auto"/>
        </w:rPr>
        <w:t>” means those trade, economic and financial sanctions laws, regulations, embargoes, and restrictive measures (in each case having the force of law) administered, enacted or enforced from time to time by (A) the United States (including without limitation the U.S. Department of the Treasury, Office of Foreign Assets Control, the U.S. Department of State, and the U.S. Department of Commerce), (B) the European Union and enforced by its member states, (C) the United Nations and (D) Her Majesty’s Treasury.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ind w:right="140" w:firstLine="436"/>
        <w:spacing w:after="0" w:line="261"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Subscriber, together with its affiliates that will hold the Subscribed Shares, are not currently (and at all times through the Closing will refrain from being or becoming) members of a “group” (within the meaning of Section 13(d)(3) or Section 14(d)(2) of the Exchange Act or any successor provision) acting for the purpose of acquiring, holding, voting or disposing of equity securities of Apollomics (within the meaning of Rule 13d-5(b)(1) under the Exchange Act).</w:t>
      </w:r>
    </w:p>
    <w:p>
      <w:pPr>
        <w:spacing w:after="0" w:line="179"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person (as defined in 31 C.F.R. Part 800.224) in which the national or subnational governments of a single foreign state have a substantial interest (as defined in 31 C.F.R. Part 800.244) will acquire a substantial interest in Apollomics as a result of the purchase and sale of Subscribed Shares hereunder such that a declaration to the Committee on Foreign Investment in the United States would be mandatory under 31 C.F.R. Part 800.401, and no foreign person will have control (as defined in 31 C.F.R. Part 800.208) over Apollomics from and after the Closing as a result of the purchase and sale of Subscribed Shares hereunder.</w:t>
      </w:r>
    </w:p>
    <w:p>
      <w:pPr>
        <w:spacing w:after="0" w:line="1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an employee benefit plan that is subject to Title I of the Employee Retirement Income Security Act of 1974, as amended</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subject to the fiduciary or prohibited transaction provisions of ERISA or section 4975 of the Code, Subscriber represents and warrants that (i) neither Apollomics, nor any of its respective affiliates (the “</w:t>
      </w:r>
      <w:r>
        <w:rPr>
          <w:rFonts w:ascii="Times New Roman" w:cs="Times New Roman" w:eastAsia="Times New Roman" w:hAnsi="Times New Roman"/>
          <w:sz w:val="18"/>
          <w:szCs w:val="18"/>
          <w:b w:val="1"/>
          <w:bCs w:val="1"/>
          <w:u w:val="single" w:color="auto"/>
          <w:color w:val="auto"/>
        </w:rPr>
        <w:t>Transaction Parties</w:t>
      </w:r>
      <w:r>
        <w:rPr>
          <w:rFonts w:ascii="Times New Roman" w:cs="Times New Roman" w:eastAsia="Times New Roman" w:hAnsi="Times New Roman"/>
          <w:sz w:val="18"/>
          <w:szCs w:val="18"/>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(ii) the acquisition and holding of the Subscribed Shares will not result in a non-exempt prohibited transaction under ERISA or Section 4975 of the Code.</w:t>
      </w:r>
    </w:p>
    <w:p>
      <w:pPr>
        <w:spacing w:after="0" w:line="193" w:lineRule="exact"/>
        <w:rPr>
          <w:sz w:val="20"/>
          <w:szCs w:val="20"/>
          <w:color w:val="auto"/>
        </w:rPr>
      </w:pPr>
    </w:p>
    <w:p>
      <w:pPr>
        <w:ind w:right="400" w:firstLine="436"/>
        <w:spacing w:after="0" w:line="266" w:lineRule="auto"/>
        <w:tabs>
          <w:tab w:leader="none" w:pos="6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has or has commitments to have, and, when required to deliver payment to Apollomics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will have, sufficient funds to pay the Purchase Price and to consummate the purchase of the Subscribed Shares when required pursuant to this Subscription Agreement.</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at or prior to the Closing, Subscriber has no binding commitment to dispose of, or otherwise transfer (directly or indirectly), any of the Subscribed Shares.</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its obligations under applicable securities laws with respect to the treatment of non-public information relating to Apollomics.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no present intent to effect a “change of control” of Apollomics as such term is understood under the rules promulgated pursuant to Section 13(d) of the Exchange Act and under the rules of the Stock Exchange.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6" w:name="page17"/>
    <w:bookmarkEnd w:id="1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1" w:lineRule="auto"/>
        <w:tabs>
          <w:tab w:leader="none" w:pos="6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within thirty (30) calendar days following the Closing, file with the SEC (at Apollomics’ sole cost and expense) a registration statement on Form F-3 or such other form of registration statement as is then available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registering the resale of Subscribed Shares, and Apollomics shall use its commercially reasonable efforts to cause the Registration Statement to be declared effective as soon as practicable after the filing thereof, but no later than the earlier of (i) the sixtieth (60th) calendar day (if the SEC notifies Apollomics that it will “review” such Registration Statement) following the day in which Apollomics initially filed the Registration Statement and (ii) the tenth (10th) Business Day after the date Apollomics is notified (orally or in writing, whichever is earlier) by the SEC that such Registration Statement will not be “reviewed” or will not be subject to further review (such date, the “</w:t>
      </w:r>
      <w:r>
        <w:rPr>
          <w:rFonts w:ascii="Times New Roman" w:cs="Times New Roman" w:eastAsia="Times New Roman" w:hAnsi="Times New Roman"/>
          <w:sz w:val="18"/>
          <w:szCs w:val="18"/>
          <w:b w:val="1"/>
          <w:bCs w:val="1"/>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Apollomics’ obligations to include Subscriber’s Subscribed Shares in the Registration Statement are contingent upon Subscriber furnishing in writing to Apollomics such information regarding Subscriber, the securities of Apollomics held by Subscriber and the intended method of distribution of the Subscribed Shares (which shall be limited to non-underwritten public offerings) as shall be reasonably requested by Apollomics to effect the registration of the Subscribed Shares, and shall execute such documents in connection with such registration as Apollomics may reasonably request that are customary of a selling shareholder in similar situations. Apollomics agrees that, except for such times as Apollomics is permitted hereunder to suspend the use of the prospectus forming part of a Registration Statement, Apollomics will use its reasonable best efforts to, at its expense, cause such Registration Statement or another registration statement (which may be a “shelf registration statement”) to remain effective with respect to Subscriber, keep any qualification, exemption or compliance under state securities laws which Apollomics determines to obtain continuously effective with respect to Subscriber, and to keep the applicable Registration Statement or any subsequent shelf registration statement free of any material misstatements or omissions, until the earliest of</w:t>
      </w:r>
    </w:p>
    <w:p>
      <w:pPr>
        <w:spacing w:after="0" w:line="10" w:lineRule="exact"/>
        <w:rPr>
          <w:rFonts w:ascii="Times New Roman" w:cs="Times New Roman" w:eastAsia="Times New Roman" w:hAnsi="Times New Roman"/>
          <w:sz w:val="18"/>
          <w:szCs w:val="18"/>
          <w:color w:val="auto"/>
        </w:rPr>
      </w:pPr>
    </w:p>
    <w:p>
      <w:pPr>
        <w:ind w:left="4" w:right="20" w:hanging="4"/>
        <w:spacing w:after="0" w:line="251"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all of the Subscribed Shares shall have been sold, (ii) the first date on which the undersigned can sell all of its Subscribed Shares under Rule 144 of the Securities Act without limitation as to the manner of sale, the amount of such securities that may be sold and without the requirement for Apollomics to be in compliance with the current public information required under Rule 144, and (iii) three years after the initial Registration Statement filed hereunder is declared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Apollomics shall be entitled to delay the filing or postpone the effectiveness of the Registration Statement, and from time to time to require Subscriber not to sell under the Registration Statement or to suspend the effectiveness thereof, if (A) Apollomics’ board of directors (the “</w:t>
      </w:r>
      <w:r>
        <w:rPr>
          <w:rFonts w:ascii="Times New Roman" w:cs="Times New Roman" w:eastAsia="Times New Roman" w:hAnsi="Times New Roman"/>
          <w:sz w:val="18"/>
          <w:szCs w:val="18"/>
          <w:b w:val="1"/>
          <w:bCs w:val="1"/>
          <w:u w:val="single" w:color="auto"/>
          <w:color w:val="auto"/>
        </w:rPr>
        <w:t>Apollomics Board</w:t>
      </w:r>
      <w:r>
        <w:rPr>
          <w:rFonts w:ascii="Times New Roman" w:cs="Times New Roman" w:eastAsia="Times New Roman" w:hAnsi="Times New Roman"/>
          <w:sz w:val="18"/>
          <w:szCs w:val="18"/>
          <w:color w:val="auto"/>
        </w:rPr>
        <w:t>”) reasonably determines that in order for the Registration Statement not to contain a material misstatement or omission, an amendment thereto would be needed, (B) the negotiation or consummation of a transaction by Apollomics or its subsidiaries is pending or an event has occurred, which negotiation, consummation or event the Apollomics Board reasonably believes would require additional disclosure by Apollomics in the Registration Statement of material information that Apollomics has a bona fide business purpose for keeping confidential and the non-disclosure of which in the Registration Statement would be expected, in the reasonable determination of the Apollomics Board to cause the Registration Statement to fail to comply with applicable disclosure requirements or (C) in the reasonable judgment of the Apollomics Board, such filing or effectiveness or use of such Registration Statement would be seriously detrimental to Apollomics (such circumstance, a “</w:t>
      </w:r>
      <w:r>
        <w:rPr>
          <w:rFonts w:ascii="Times New Roman" w:cs="Times New Roman" w:eastAsia="Times New Roman" w:hAnsi="Times New Roman"/>
          <w:sz w:val="18"/>
          <w:szCs w:val="18"/>
          <w:b w:val="1"/>
          <w:bCs w:val="1"/>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Apollomics may not delay or suspend the Registration Statement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7" w:name="page18"/>
    <w:bookmarkEnd w:id="17"/>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more than 60 consecutive calendar days or for more than 120 calendar days in any 360 day period. Upon receipt of any written notice from Apollomics (which notice shall not contain any material non-public information regarding Apollomics)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(1) it will immediately discontinue offers and sales of the Subscribed Shares under the Registration Statement (excluding, for the avoidance of doubt, sales conducted pursuant to Rule 144) until Subscriber receives copies of a supplemental or amended prospectus (which Apollomics agrees to promptly prepare) that corrects the misstatements or omissions referred to above and receives notice that any post-effective amendment has become effective or unless otherwise notified by Apollomics that it may resume such offers and sales, and (2) it will maintain the confidentiality of any information included in such written notice delivered by Apollomics unless otherwise required by law or subpoena. If so directed by Apollomics, Subscriber will deliver to Apollomics or, in Subscriber’s sole discretion destroy, all copies of the prospectus covering the Subscribed Shares in Subscriber’s possession;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obligation to deliver or destroy all copies of the prospectus covering the Subscribed Shares shall not apply (I) to the extent Subscriber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required to retain a copy of such prospectus (x) in order to comply with applicable legal, regulatory, self-regulatory or professional requirements or</w:t>
      </w:r>
    </w:p>
    <w:p>
      <w:pPr>
        <w:spacing w:after="0" w:line="10" w:lineRule="exact"/>
        <w:rPr>
          <w:sz w:val="20"/>
          <w:szCs w:val="20"/>
          <w:color w:val="auto"/>
        </w:rPr>
      </w:pPr>
    </w:p>
    <w:p>
      <w:pPr>
        <w:ind w:left="4" w:hanging="4"/>
        <w:spacing w:after="0" w:line="251"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 bona fide pre-existing document retention policy or (II) to copies stored electronically on archival servers as a result of automatic data back-up. Notwithstanding the foregoing, if the SEC prevents Apollomics from including any or all of the Ordinary Shares proposed to be registered under the Registration Statement due to limitations on the use of Rule 415 of the Securities Act for the resale of the Ordinary Shares by the applicable shareholders or otherwise, such Registration Statement shall register for resale such number of Subscribed Shares which is equal to the maximum number of Subscribed Shares as is permitted by the Commission. In such event, the number of Subscribed Shares to be registered for each selling shareholder named in the Registration Statement shall be reduced pro rata among all such selling shareholders, and as promptly as practicable after being permitted to register additional Subscribed Shares under Rule 415 under the Securities Act, Apollomics shall file a new Registration Statement to register such Subscribed Shares not included in the initial Registration Statement and cause such Registration Statement to become effective as promptly as practicable consistent with the terms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In no event shall Subscriber be identified as a statutory underwriter in the Registration Statement unless in response to a comment or request from the staff of the SEC or another regulatory agency; provided, however, that if the SEC requests that Subscriber be identified as a statutory underwriter in the Registration Statement, Subscriber will have an opportunity to withdraw from the Registration Statement. Subscriber shall not be entitled to use the Registration Statement for an underwritten offering of Subscribed Shares and notwithstanding anything to the contrary in this Subscription Agreement, Apollomics shall not have any obligation to prepare any prospectus supplement, participate in any due diligence, execute any agreements or certificates or deliver legal opinions or obtain comfort letters in connection with any sales of the Subscribed Shares under the Registration Statement.</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8" w:name="page19"/>
    <w:bookmarkEnd w:id="18"/>
    <w:p>
      <w:pPr>
        <w:ind w:left="640" w:hanging="26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Apollomics shall promptly advise Subscriber within two (2) Business Days:</w:t>
      </w:r>
    </w:p>
    <w:p>
      <w:pPr>
        <w:spacing w:after="0" w:line="130" w:lineRule="exact"/>
        <w:rPr>
          <w:rFonts w:ascii="Times New Roman" w:cs="Times New Roman" w:eastAsia="Times New Roman" w:hAnsi="Times New Roman"/>
          <w:sz w:val="18"/>
          <w:szCs w:val="18"/>
          <w:color w:val="auto"/>
        </w:rPr>
      </w:pPr>
    </w:p>
    <w:p>
      <w:pPr>
        <w:ind w:left="1360" w:right="60" w:hanging="439"/>
        <w:spacing w:after="0" w:line="282"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or any amendment thereto has been filed with the SEC and when such Registration Statement or any post-effective amendment thereto has become effective;</w:t>
      </w:r>
    </w:p>
    <w:p>
      <w:pPr>
        <w:spacing w:after="0" w:line="67" w:lineRule="exact"/>
        <w:rPr>
          <w:rFonts w:ascii="Times New Roman" w:cs="Times New Roman" w:eastAsia="Times New Roman" w:hAnsi="Times New Roman"/>
          <w:sz w:val="18"/>
          <w:szCs w:val="18"/>
          <w:color w:val="auto"/>
        </w:rPr>
      </w:pPr>
    </w:p>
    <w:p>
      <w:pPr>
        <w:ind w:left="1360" w:right="200" w:hanging="439"/>
        <w:spacing w:after="0" w:line="282"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SEC for amendments or supplements to any Registration Statement or the prospectus included therein or for additional information;</w:t>
      </w:r>
    </w:p>
    <w:p>
      <w:pPr>
        <w:spacing w:after="0" w:line="67" w:lineRule="exact"/>
        <w:rPr>
          <w:rFonts w:ascii="Times New Roman" w:cs="Times New Roman" w:eastAsia="Times New Roman" w:hAnsi="Times New Roman"/>
          <w:sz w:val="18"/>
          <w:szCs w:val="18"/>
          <w:color w:val="auto"/>
        </w:rPr>
      </w:pPr>
    </w:p>
    <w:p>
      <w:pPr>
        <w:ind w:left="1360" w:right="400" w:hanging="439"/>
        <w:spacing w:after="0" w:line="282"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SEC of any stop order suspending the effectiveness of any Registration Statement or the initiation of any proceedings for such purpose;</w:t>
      </w:r>
    </w:p>
    <w:p>
      <w:pPr>
        <w:spacing w:after="0" w:line="67" w:lineRule="exact"/>
        <w:rPr>
          <w:rFonts w:ascii="Times New Roman" w:cs="Times New Roman" w:eastAsia="Times New Roman" w:hAnsi="Times New Roman"/>
          <w:sz w:val="18"/>
          <w:szCs w:val="18"/>
          <w:color w:val="auto"/>
        </w:rPr>
      </w:pPr>
    </w:p>
    <w:p>
      <w:pPr>
        <w:ind w:left="1360" w:hanging="439"/>
        <w:spacing w:after="0" w:line="282"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Apollomics of any notification with respect to the suspension of the qualification of the Subscribed Shares included therein for sale in any jurisdiction or the initiation or threatening of any proceeding for such purpose; and</w:t>
      </w:r>
    </w:p>
    <w:p>
      <w:pPr>
        <w:spacing w:after="0" w:line="67" w:lineRule="exact"/>
        <w:rPr>
          <w:rFonts w:ascii="Times New Roman" w:cs="Times New Roman" w:eastAsia="Times New Roman" w:hAnsi="Times New Roman"/>
          <w:sz w:val="18"/>
          <w:szCs w:val="18"/>
          <w:color w:val="auto"/>
        </w:rPr>
      </w:pPr>
    </w:p>
    <w:p>
      <w:pPr>
        <w:ind w:left="1360" w:right="20" w:hanging="439"/>
        <w:spacing w:after="0" w:line="261" w:lineRule="auto"/>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72" w:lineRule="exact"/>
        <w:rPr>
          <w:sz w:val="20"/>
          <w:szCs w:val="20"/>
          <w:color w:val="auto"/>
        </w:rPr>
      </w:pPr>
    </w:p>
    <w:p>
      <w:pPr>
        <w:ind w:left="380" w:right="360" w:firstLine="423"/>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herein, Apollomics shall not, when so advising Subscriber of such events, provide Subscriber with any material, non-public information regarding Apollomics other than to the extent that providing notice to Subscriber of the occurrence of the events listed in (i) through (v) above constitutes material, non-public information regarding Apollomics or subjects the Subscriber to any duty of confidentiality.</w:t>
      </w:r>
    </w:p>
    <w:p>
      <w:pPr>
        <w:spacing w:after="0" w:line="180" w:lineRule="exact"/>
        <w:rPr>
          <w:sz w:val="20"/>
          <w:szCs w:val="20"/>
          <w:color w:val="auto"/>
        </w:rPr>
      </w:pPr>
    </w:p>
    <w:p>
      <w:pPr>
        <w:ind w:left="-60" w:right="880" w:firstLine="436"/>
        <w:spacing w:after="0" w:line="282" w:lineRule="auto"/>
        <w:tabs>
          <w:tab w:leader="none" w:pos="6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use its commercially reasonable efforts to obtain the withdrawal of any order suspending the effectiveness of any Registration Statement if such order should be issued.</w:t>
      </w:r>
    </w:p>
    <w:p>
      <w:pPr>
        <w:spacing w:after="0" w:line="161" w:lineRule="exact"/>
        <w:rPr>
          <w:rFonts w:ascii="Times New Roman" w:cs="Times New Roman" w:eastAsia="Times New Roman" w:hAnsi="Times New Roman"/>
          <w:sz w:val="18"/>
          <w:szCs w:val="18"/>
          <w:color w:val="auto"/>
        </w:rPr>
      </w:pPr>
    </w:p>
    <w:p>
      <w:pPr>
        <w:ind w:left="-60" w:right="60" w:firstLine="436"/>
        <w:spacing w:after="0" w:line="256"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times as Apollomics is permitted hereunder to suspend, and has suspended, the use of a prospectus forming part of a Registration Statement as contemplated by this Subscription Agreement, Apollomics shall use its reasonable best efforts to as soon as reasonably practicable prepare a post-effective amendment to such Registration Statement or a supplement to the related prospectus, or file any other required document so that, as thereafter delivered to purchasers of the Subscribed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60" w:right="80" w:firstLine="436"/>
        <w:spacing w:after="0" w:line="282" w:lineRule="auto"/>
        <w:tabs>
          <w:tab w:leader="none" w:pos="6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use its reasonable best efforts to cause all Subscribed Shares to be listed on each securities exchange or automated quotation system, if any, on which the Ordinary Shares have been listed.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500" w:top="270" w:right="499" w:bottom="1440" w:gutter="0" w:footer="0" w:header="0"/>
        </w:sectPr>
      </w:pPr>
    </w:p>
    <w:bookmarkStart w:id="19" w:name="page20"/>
    <w:bookmarkEnd w:id="19"/>
    <w:p>
      <w:pPr>
        <w:ind w:right="60" w:firstLine="436"/>
        <w:spacing w:after="0" w:line="254"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Apollomics will use its commercially reasonable efforts to (A) at the reasonable request of Subscriber, deliver all the necessary documentation to cause the transfer agent to Apollomics to remove all restrictive legends from any of the Subscribed Shares being sold under the Registration Statement or pursuant to Rule 144 at the time of sale of such Subscribed Shares, or that may be sold by Subscriber without restriction under Rule 144, including without limitation, any volume, information and manner of sale restrictions, and (B) deliver or cause its legal counsel to deliver to the transfer agent to Apollomics the necessary legal opinions or instruction letters required by the transfer agent to Apollomics, if any, in connection with the instruction under clause (A), in each case in the case of clauses (A) and (B), upon the receipt of Subscriber’s representation letters and such other customary supporting documentation as requested by (and in a form reasonably acceptable to) Apollomics and its counsel. Subscriber agrees to disclose their respective beneficial ownership, as determined in accordance with Rule 13d-3 of the Exchange Act, of Subscribed Shares to Apollomics (or its successor) upon reasonable request to assist Apollomics in making the determination described above.</w:t>
      </w:r>
    </w:p>
    <w:p>
      <w:pPr>
        <w:spacing w:after="0" w:line="184" w:lineRule="exact"/>
        <w:rPr>
          <w:sz w:val="20"/>
          <w:szCs w:val="20"/>
          <w:color w:val="auto"/>
        </w:rPr>
      </w:pPr>
    </w:p>
    <w:p>
      <w:pPr>
        <w:ind w:right="80" w:firstLine="436"/>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may deliver written notice (an “</w:t>
      </w:r>
      <w:r>
        <w:rPr>
          <w:rFonts w:ascii="Times New Roman" w:cs="Times New Roman" w:eastAsia="Times New Roman" w:hAnsi="Times New Roman"/>
          <w:sz w:val="18"/>
          <w:szCs w:val="18"/>
          <w:b w:val="1"/>
          <w:bCs w:val="1"/>
          <w:u w:val="single" w:color="auto"/>
          <w:color w:val="auto"/>
        </w:rPr>
        <w:t>Opt-Out Notice</w:t>
      </w:r>
      <w:r>
        <w:rPr>
          <w:rFonts w:ascii="Times New Roman" w:cs="Times New Roman" w:eastAsia="Times New Roman" w:hAnsi="Times New Roman"/>
          <w:sz w:val="18"/>
          <w:szCs w:val="18"/>
          <w:color w:val="auto"/>
        </w:rPr>
        <w:t xml:space="preserve">”) to Apollomics requesting that Subscriber not receive notices from Apollomics otherwise required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provided, however, that Subscriber may later revoke any such Opt-Out Notice in writing. Following receipt of an Opt-Out Notice from Subscriber (unless subsequently revoked), (i) Apollomics shall not deliver any such notices to Subscriber and Subscriber shall no longer be entitled to the rights associated with any such notice and (ii) each time prior to Subscriber’s intended use of an effective Registration Statement, Subscriber will notify Apollomics in writing at least two (2) Business Days in advance of such intended use, and if a notice of a Suspension Event was previously delivered (or would have been delivered but for the provisions of this </w:t>
      </w:r>
      <w:r>
        <w:rPr>
          <w:rFonts w:ascii="Times New Roman" w:cs="Times New Roman" w:eastAsia="Times New Roman" w:hAnsi="Times New Roman"/>
          <w:sz w:val="18"/>
          <w:szCs w:val="18"/>
          <w:u w:val="single" w:color="auto"/>
          <w:color w:val="auto"/>
        </w:rPr>
        <w:t>Section 5(i)</w:t>
      </w:r>
      <w:r>
        <w:rPr>
          <w:rFonts w:ascii="Times New Roman" w:cs="Times New Roman" w:eastAsia="Times New Roman" w:hAnsi="Times New Roman"/>
          <w:sz w:val="18"/>
          <w:szCs w:val="18"/>
          <w:color w:val="auto"/>
        </w:rPr>
        <w:t>) and the related suspension period remains in effect, Apollomics will so notify Subscriber, within one (1) Business Day of Subscriber’s notification to Apollomics, by delivering to Subscriber a copy of such previous notice of Suspension Event, and thereafter will provide Subscriber with the related notice of the conclusion of such Suspension Event promptly following its availability.</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which shall survive any termination of this Subscription Agreement, unless otherwise stipulated hereunder, this Subscription Agreement shall terminate and be void and of no further force and effect, and all rights and obligations of the parties hereunder shall terminate without any further liability on the part of any party in respect thereof, upon the mutual written agreement of the parties hereto to terminate this Subscription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will relieve any party from liability for any willful breach hereof prior to the time of termination, and each party will be entitled to any remedies at Law or in equity to recover losses, liabilities or damages arising from such breach.</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agrees to indemnify and hold harmless, to the extent permitted by Law, the Subscriber, its directors, and officers, employees, and agents, and each person who controls the Subscriber (within the meaning of the Securities Act or the Exchange Act) and each affiliate of the Subscriber (within the meaning of Rule 405 under the Securities Act), to the extent the Subscriber is a seller under the Registration Statement, from and against any and all losses, claims, damages, liabilities and expenses (including, without limitation, any reasonable attorneys’ fees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incurred in connection with defending or investigating any such action or claim) caused by any untrue or alleged untrue statement of material fact contained in any Registration Statement, prospectus included in any Registration Statement or preliminary prospectus or any amendment thereof or supplement thereto or any omission or alleged omission of a material fact required to be stated therein or necessary to make the statements therein (in the case of a prospectus, in light of the circumstances in which they were made) not misleading, except insofar as the same are caused by or contained in any information furnished in writing to Apollomics by or on behalf of the Subscriber expressly for use therein.</w:t>
      </w:r>
    </w:p>
    <w:p>
      <w:pPr>
        <w:spacing w:after="0" w:line="183" w:lineRule="exact"/>
        <w:rPr>
          <w:sz w:val="20"/>
          <w:szCs w:val="20"/>
          <w:color w:val="auto"/>
        </w:rPr>
      </w:pPr>
    </w:p>
    <w:p>
      <w:pPr>
        <w:ind w:firstLine="436"/>
        <w:spacing w:after="0" w:line="253"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in connection with any Registration Statement under which the Subscriber is a seller, severally and not jointly with any person that is a party to the Other Subscription Agreements, to indemnify and hold harmless Apollomics, its affiliates and its and its affiliates’ directors, officers, employees and agents, and each person who controls Apollomics (within the meaning of the Securities Act or the Exchange Act) against any losses, claims, damages, liabilities and expenses (including, without limitation, reasonable attorneys’ fees and expenses incurred in connection with defending or investigating any such action or claim) resulting from any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in which they were made) not misleading, but only to the extent that such untrue statement or omission is contained (or not contained, in the case of an omission) in any information or affidavit so furnished by or on behalf of the Subscriber expressly for use therein. In no event shall the liability of the Subscriber be greater in amount than the dollar amount of the net proceeds received by the Subscriber upon the sale of the Subscribed Shares giving rise to such indemnification obligation.</w:t>
      </w:r>
    </w:p>
    <w:p>
      <w:pPr>
        <w:spacing w:after="0" w:line="191" w:lineRule="exact"/>
        <w:rPr>
          <w:rFonts w:ascii="Times New Roman" w:cs="Times New Roman" w:eastAsia="Times New Roman" w:hAnsi="Times New Roman"/>
          <w:sz w:val="18"/>
          <w:szCs w:val="18"/>
          <w:color w:val="auto"/>
        </w:rPr>
      </w:pPr>
    </w:p>
    <w:p>
      <w:pPr>
        <w:ind w:right="60" w:firstLine="436"/>
        <w:spacing w:after="0" w:line="253"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9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Subscribed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left="4" w:firstLine="436"/>
        <w:spacing w:after="0" w:line="252" w:lineRule="auto"/>
        <w:tabs>
          <w:tab w:leader="none" w:pos="6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indemnification provided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(or not made, in the case of an omission) by, or relates to information supplied (or not supplied, in the case of an omission) by or on behalf of,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other limitations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from any person who was not guilty of such fraudulent misrepresentation. Any contribution pursuant to this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by any seller of Subscribed Shares shall be limited in amount to the amount of net proceeds received by such seller from the sale of such Subscribed Shares pursuant to the Registration Statement. Notwithstanding anything to the contrary herein, in no event will any party be liable for consequential, special, exemplary or punitive damages in connection with this Subscription Agreement.</w:t>
      </w:r>
    </w:p>
    <w:p>
      <w:pPr>
        <w:spacing w:after="0" w:line="1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and be deemed to have been duly given</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three Business Days after being sent, if sent by registered or certified mail return receipt requested, postage prepaid,</w:t>
      </w:r>
    </w:p>
    <w:p>
      <w:pPr>
        <w:spacing w:after="0" w:line="9" w:lineRule="exact"/>
        <w:rPr>
          <w:rFonts w:ascii="Times New Roman" w:cs="Times New Roman" w:eastAsia="Times New Roman" w:hAnsi="Times New Roman"/>
          <w:sz w:val="18"/>
          <w:szCs w:val="18"/>
          <w:color w:val="auto"/>
        </w:rPr>
      </w:pPr>
    </w:p>
    <w:p>
      <w:pPr>
        <w:ind w:left="4" w:right="120" w:hanging="4"/>
        <w:spacing w:after="0" w:line="255" w:lineRule="auto"/>
        <w:tabs>
          <w:tab w:leader="none" w:pos="3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Business Day after being sent, if sent by FedEx or other nationally recognized overnight delivery service, or (iv) when delivered by email with electronic confirmation of delivery,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Apollomics and others have relied and will rely on the acknowledgments, understandings, agreements,</w:t>
      </w:r>
    </w:p>
    <w:p>
      <w:pPr>
        <w:spacing w:after="0" w:line="27"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Subscriber contained in this Subscription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clause of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shall not give Apollomics or any third party any rights other than as expressly set forth herein. Prior to the Closing, Subscriber agrees to promptly notify Apollomics if it becomes aware that any of the acknowledgments, understandings, agreements, representations and warranties of Subscriber set forth herein are no longer accurate in all material respects. Subscriber acknowledges and agrees that the purchase by Subscriber of Subscribed Shares from Apollomics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2" w:name="page23"/>
    <w:bookmarkEnd w:id="22"/>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constitute a reaffirmation of the acknowledgments, understandings, agreements, representations and warranties herein by Subscriber as of the Closing. Apollomics acknowledges that Subscriber will rely on the acknowledgments, understandings, agreements, representations and warranties of Apollomics contained in this Subscription Agreement. Prior to the Closing, Apollomics agrees to promptly notify Subscriber if it becomes aware that any of the acknowledgments, understandings, agreements, representations and warranties of Apollomics set forth herein are no longer accurate in all material respects.</w:t>
      </w:r>
    </w:p>
    <w:p>
      <w:pPr>
        <w:spacing w:after="0" w:line="183" w:lineRule="exact"/>
        <w:rPr>
          <w:sz w:val="20"/>
          <w:szCs w:val="20"/>
          <w:color w:val="auto"/>
        </w:rPr>
      </w:pPr>
    </w:p>
    <w:p>
      <w:pPr>
        <w:ind w:right="120" w:firstLine="436"/>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Apollomics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pay all of its own expenses in connection with this Subscription Agreement and the transactions contemplated herein.</w:t>
      </w:r>
    </w:p>
    <w:p>
      <w:pPr>
        <w:spacing w:after="0" w:line="225"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hereby acknowledges and agrees that it will not, nor will any person acting at Subscriber’s direction or pursuant to any understanding with Subscriber, directly or indirectly offer, sell, pledge, contract to sell, sell any option, engage in hedging activities or execute any “short sales” as defined in Rule 200 of Regulation SHO under the Exchange Act, of the Subscribed Shares until the consummation of the Closing (or the earlier termination of this Subscription Agreement in accordance with its terms).</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Subscriber hereunder (other than the Subscribed Shares acquired hereunder, if any) may be transferred or assigned. Neither this Subscription Agreement nor any rights that may accrue to Apollomics hereunder may be transferred or assigned. Notwithstanding the foregoing, Subscriber may assign its rights and obligations under this Subscription Agreement to one or more of its affiliates (including other investment funds or accounts managed or advised by the investment manager who acts on behalf of Subscriber, if any) or, with Apollomics’ prior written consent, to another person, provided that no such assignment shall relieve Subscriber of its obligations hereunder if any such assignee fails to perform such obligations.</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agreements, representations and warranties made by each party hereto in this Subscription Agreement shall survive the Closing.</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may request from Subscriber such additional information as Apollomics may reasonably deem necessary to evaluate the eligibility of Subscriber to acquire the Subscribed Shares, and Subscriber shall provide such information as may be reasonably requested. Subscriber acknowledges that Apollomics may file a copy of the form of this Subscription Agreement with the SEC as an exhibit to a report of Apollomics or a registration statement of Apollomics.</w:t>
      </w:r>
    </w:p>
    <w:p>
      <w:pPr>
        <w:spacing w:after="0" w:line="179" w:lineRule="exact"/>
        <w:rPr>
          <w:rFonts w:ascii="Times New Roman" w:cs="Times New Roman" w:eastAsia="Times New Roman" w:hAnsi="Times New Roman"/>
          <w:sz w:val="18"/>
          <w:szCs w:val="18"/>
          <w:color w:val="auto"/>
        </w:rPr>
      </w:pPr>
    </w:p>
    <w:p>
      <w:pPr>
        <w:ind w:left="5420" w:hanging="4984"/>
        <w:spacing w:after="0" w:line="454"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amended, modified or waived except by an instrument in writing, signed by each of the parties hereto. 19</w:t>
      </w:r>
    </w:p>
    <w:p>
      <w:pPr>
        <w:sectPr>
          <w:pgSz w:w="11900" w:h="16838" w:orient="portrait"/>
          <w:cols w:equalWidth="0" w:num="1">
            <w:col w:w="11000"/>
          </w:cols>
          <w:pgMar w:left="440" w:top="270" w:right="459" w:bottom="1440" w:gutter="0" w:footer="0" w:header="0"/>
        </w:sectPr>
      </w:pPr>
    </w:p>
    <w:bookmarkStart w:id="23" w:name="page24"/>
    <w:bookmarkEnd w:id="23"/>
    <w:p>
      <w:pPr>
        <w:ind w:left="-20" w:right="840" w:firstLine="436"/>
        <w:spacing w:after="0" w:line="312" w:lineRule="auto"/>
        <w:tabs>
          <w:tab w:leader="none" w:pos="6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Subscription Agreement constitutes the entire agreement between the parties hereto, and supersedes all other prior agreements, understandings, representations and warranties, both written and oral, between the parties hereto with respect to the subject matter hereof.</w:t>
      </w:r>
    </w:p>
    <w:p>
      <w:pPr>
        <w:spacing w:after="0" w:line="139" w:lineRule="exact"/>
        <w:rPr>
          <w:rFonts w:ascii="Times New Roman" w:cs="Times New Roman" w:eastAsia="Times New Roman" w:hAnsi="Times New Roman"/>
          <w:sz w:val="17"/>
          <w:szCs w:val="17"/>
          <w:color w:val="auto"/>
        </w:rPr>
      </w:pPr>
    </w:p>
    <w:p>
      <w:pPr>
        <w:ind w:left="-20" w:firstLine="436"/>
        <w:spacing w:after="0" w:line="254"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this Subscription Agreement shall be binding upon, and inure to the benefit of the parties hereto and their heirs, executors, administrators, successors, legal representatives, and permitted assigns and is not for the benefit of, nor may any provision hereof be enforced by, any other person. Each of the parties hereto acknowledge and agree that each of the parties hereto shall be entitled to seek and obtain equitable relief, without proof of actual damages, including an injunction or injunctions or order for specific performance to prevent breaches of this Subscription Agreement and to enforce specifically the terms and provisions of this Subscription Agreement to cause Apollomics to cause, or directly cause, Subscriber to fund the Purchase Price and cause the Closing to occur on the Subscription Closing Date. Each party hereto further agrees that none of the parties hereto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8(k)</w:t>
      </w:r>
      <w:r>
        <w:rPr>
          <w:rFonts w:ascii="Times New Roman" w:cs="Times New Roman" w:eastAsia="Times New Roman" w:hAnsi="Times New Roman"/>
          <w:sz w:val="18"/>
          <w:szCs w:val="18"/>
          <w:color w:val="auto"/>
        </w:rPr>
        <w:t>, and each party hereto irrevocably waives any right it may have to require the obtaining, furnishing, or posting of any such bond of similar instrument.</w:t>
      </w:r>
    </w:p>
    <w:p>
      <w:pPr>
        <w:spacing w:after="0" w:line="188" w:lineRule="exact"/>
        <w:rPr>
          <w:rFonts w:ascii="Times New Roman" w:cs="Times New Roman" w:eastAsia="Times New Roman" w:hAnsi="Times New Roman"/>
          <w:sz w:val="18"/>
          <w:szCs w:val="18"/>
          <w:color w:val="auto"/>
        </w:rPr>
      </w:pPr>
    </w:p>
    <w:p>
      <w:pPr>
        <w:ind w:left="-20" w:right="20" w:firstLine="436"/>
        <w:spacing w:after="0" w:line="252"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Apollomics shall be entitled to specifically enforce Subscriber’s obligations to fund the Purchase Price set forth on the signature page hereto and the provisions of the Subscription Agreement, in each case, on the terms and subject to the conditions set forth herein. The parties hereto further acknowledge and agree: (i) to waive any requirement for the security or posting of any bond in connection with any such equitable remedy; (ii) not to assert that a remedy of specific enforcement pursuant to this </w:t>
      </w:r>
      <w:r>
        <w:rPr>
          <w:rFonts w:ascii="Times New Roman" w:cs="Times New Roman" w:eastAsia="Times New Roman" w:hAnsi="Times New Roman"/>
          <w:sz w:val="18"/>
          <w:szCs w:val="18"/>
          <w:u w:val="single" w:color="auto"/>
          <w:color w:val="auto"/>
        </w:rPr>
        <w:t>Section 8(l)</w:t>
      </w:r>
      <w:r>
        <w:rPr>
          <w:rFonts w:ascii="Times New Roman" w:cs="Times New Roman" w:eastAsia="Times New Roman" w:hAnsi="Times New Roman"/>
          <w:sz w:val="18"/>
          <w:szCs w:val="18"/>
          <w:color w:val="auto"/>
        </w:rPr>
        <w:t xml:space="preserve"> is unenforceable, invalid, contrary to applicable Law or inequitable for any reason; and (iii) to waive any defenses in any action for specific performance, including the defense that a remedy at Law would be adequate. In connection with any proceeding for which Apollomics is being granted an award of money damages, the Subscriber agrees that such damages, to the extent payable by such party, shall include, without limitation, damages related to the consideration that is or was to be paid to Apollomics under this Subscription Agreement, and such damages are not limited to an award of out-of-pocket fees and expenses related to this Subscription Agreement.</w:t>
      </w:r>
    </w:p>
    <w:p>
      <w:pPr>
        <w:spacing w:after="0" w:line="197" w:lineRule="exact"/>
        <w:rPr>
          <w:rFonts w:ascii="Times New Roman" w:cs="Times New Roman" w:eastAsia="Times New Roman" w:hAnsi="Times New Roman"/>
          <w:sz w:val="18"/>
          <w:szCs w:val="18"/>
          <w:color w:val="auto"/>
        </w:rPr>
      </w:pPr>
    </w:p>
    <w:p>
      <w:pPr>
        <w:ind w:left="-20" w:firstLine="436"/>
        <w:spacing w:after="0" w:line="258" w:lineRule="auto"/>
        <w:tabs>
          <w:tab w:leader="none" w:pos="7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70" w:right="479" w:bottom="1440" w:gutter="0" w:footer="0" w:header="0"/>
        </w:sectPr>
      </w:pPr>
    </w:p>
    <w:bookmarkStart w:id="24" w:name="page25"/>
    <w:bookmarkEnd w:id="2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some but not all of the claims and counterclaims, the adjudicating body may award the prevailing party an appropriate percentage of the costs and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176" w:lineRule="exact"/>
        <w:rPr>
          <w:sz w:val="20"/>
          <w:szCs w:val="20"/>
          <w:color w:val="auto"/>
        </w:rPr>
      </w:pPr>
    </w:p>
    <w:p>
      <w:pPr>
        <w:ind w:right="340" w:firstLine="436"/>
        <w:spacing w:after="0" w:line="312" w:lineRule="auto"/>
        <w:tabs>
          <w:tab w:leader="none" w:pos="69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39" w:lineRule="exact"/>
        <w:rPr>
          <w:rFonts w:ascii="Times New Roman" w:cs="Times New Roman" w:eastAsia="Times New Roman" w:hAnsi="Times New Roman"/>
          <w:sz w:val="17"/>
          <w:szCs w:val="17"/>
          <w:color w:val="auto"/>
        </w:rPr>
      </w:pPr>
    </w:p>
    <w:p>
      <w:pPr>
        <w:ind w:right="100" w:firstLine="436"/>
        <w:spacing w:after="0" w:line="254"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and delivered in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regard to the principles of conflicts of laws that would otherwise require the application of the law of any other jurisdiction.</w:t>
      </w:r>
    </w:p>
    <w:p>
      <w:pPr>
        <w:spacing w:after="0" w:line="175" w:lineRule="exact"/>
        <w:rPr>
          <w:rFonts w:ascii="Times New Roman" w:cs="Times New Roman" w:eastAsia="Times New Roman" w:hAnsi="Times New Roman"/>
          <w:sz w:val="18"/>
          <w:szCs w:val="18"/>
          <w:color w:val="auto"/>
        </w:rPr>
      </w:pPr>
    </w:p>
    <w:p>
      <w:pPr>
        <w:ind w:right="20" w:firstLine="436"/>
        <w:spacing w:after="0" w:line="255" w:lineRule="auto"/>
        <w:tabs>
          <w:tab w:leader="none" w:pos="6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EACH PARTY AND ANY PERSON ASSERTING RIGHTS AS A THIRD PARTY BENEFICIARY HEREBY WAIVES ITS RESPECTIVE RIGHTS TO A TRIAL BY JURY OF ANY CLAIM OR CAUSE OF ACTION BASED UPON OR ARISING OUT OR RELATED TO THIS SUBSCRIPTION AGREEMENT OR THE TRANSACTIONS CONTEMPLATED HEREBY IN ANY ACTION, PROCEEDING OR OTHER LITIGATION OF ANY TYPE,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w:t>
      </w:r>
      <w:r>
        <w:rPr>
          <w:rFonts w:ascii="Times New Roman" w:cs="Times New Roman" w:eastAsia="Times New Roman" w:hAnsi="Times New Roman"/>
          <w:sz w:val="18"/>
          <w:szCs w:val="18"/>
          <w:b w:val="1"/>
          <w:bCs w:val="1"/>
          <w:u w:val="single" w:color="auto"/>
          <w:color w:val="auto"/>
        </w:rPr>
        <w:t>SECTION 8(r)</w:t>
      </w:r>
      <w:r>
        <w:rPr>
          <w:rFonts w:ascii="Times New Roman" w:cs="Times New Roman" w:eastAsia="Times New Roman" w:hAnsi="Times New Roman"/>
          <w:sz w:val="18"/>
          <w:szCs w:val="18"/>
          <w:b w:val="1"/>
          <w:bCs w:val="1"/>
          <w:color w:val="auto"/>
        </w:rPr>
        <w:t xml:space="preserve"> AS TO ANY ACTION, COUNTERCLAIM OR OTHER PROCEEDING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SEEKS, IN WHOLE OR IN PART, TO CHALLENGE THE VALIDITY OR ENFORCEABILITY OF THIS SUBSCRIPTION AGREEMENT OR ANY PROVISION HEREOF. THIS WAIVER SHALL APPLY TO ANY SUBSEQUENT AMENDMENTS, RENEWALS, SUPPLEMENTS OR MODIFICATIONS TO THIS SUBSCRIPTION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00" w:firstLine="436"/>
        <w:spacing w:after="0" w:line="253"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all disputes, legal actions, suits and proceedings arising out of or relating to this Subscription Agreement must be brought exclusively in the courts of the State of New York, or, if it has or can acquire jurisdiction, in the United States District Court for the Southern District of New York (collectively the “</w:t>
      </w:r>
      <w:r>
        <w:rPr>
          <w:rFonts w:ascii="Times New Roman" w:cs="Times New Roman" w:eastAsia="Times New Roman" w:hAnsi="Times New Roman"/>
          <w:sz w:val="18"/>
          <w:szCs w:val="18"/>
          <w:b w:val="1"/>
          <w:bCs w:val="1"/>
          <w:u w:val="single" w:color="auto"/>
          <w:color w:val="auto"/>
        </w:rPr>
        <w:t>Designated Courts</w:t>
      </w:r>
      <w:r>
        <w:rPr>
          <w:rFonts w:ascii="Times New Roman" w:cs="Times New Roman" w:eastAsia="Times New Roman" w:hAnsi="Times New Roman"/>
          <w:sz w:val="18"/>
          <w:szCs w:val="18"/>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hereto also agrees that delivery of any process, summons, notice or document to a party hereof in compliance with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94" w:lineRule="exact"/>
        <w:rPr>
          <w:rFonts w:ascii="Times New Roman" w:cs="Times New Roman" w:eastAsia="Times New Roman" w:hAnsi="Times New Roman"/>
          <w:sz w:val="18"/>
          <w:szCs w:val="18"/>
          <w:color w:val="auto"/>
        </w:rPr>
      </w:pPr>
    </w:p>
    <w:p>
      <w:pPr>
        <w:ind w:right="100" w:firstLine="436"/>
        <w:spacing w:after="0" w:line="255"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or third party beneficiaries hereto and then only with respect to the specific obligations set forth herein with respect to such party or third party beneficiary. No past, present or future director, officer, employee, incorporator, manager, member, partner, shareholder,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88"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the Ordinary Shares shall occur between the date hereof and immediately prior to the Closing by reason of any reclassification, recapitalization, stock split (including reverse stock split) or combination, exchange or readjustment of shares, or any stock dividend, the number of Subscribed Shares issued to Subscriber shall be appropriately adjusted to reflect such change.</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hereby consents to the publication and disclosure in any press release issued by Apollomics, any Form 6-K filed by Apollomics with the SEC in connection with the transactions contemplated hereby and the Registration Statement (and, as and to the extent otherwise required by the federal securities laws, exchange rules, the SEC or any other securities authorities or any rules and regulations promulgated thereby, any other documents or communications provided by Apollomics to any Governmental Authority or to any securityholders of Apollomics) of Subscriber’s identity and beneficial ownership of the Subscribed Shares and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6" w:name="page27"/>
    <w:bookmarkEnd w:id="2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nature of Subscriber’s commitments, arrangements and understandings under and relating to this Subscription Agreement and, if deemed appropriate by Apollomics, a copy of this Subscription Agreement, all solely to the extent required by applicable law or any regulation or stock exchange listing requirement. Subscriber will promptly provide any information reasonably requested by Apollomics for any regulatory application or filing made or approval sought (including filings with the SEC). Notwithstanding the foregoing, Apollomics shall provide to Subscriber a copy of any proposed disclosure relating to Subscriber in accordance with the provisions of this </w:t>
      </w:r>
      <w:r>
        <w:rPr>
          <w:rFonts w:ascii="Times New Roman" w:cs="Times New Roman" w:eastAsia="Times New Roman" w:hAnsi="Times New Roman"/>
          <w:sz w:val="18"/>
          <w:szCs w:val="18"/>
          <w:u w:val="single" w:color="auto"/>
          <w:color w:val="auto"/>
        </w:rPr>
        <w:t>Section 8(v)</w:t>
      </w:r>
      <w:r>
        <w:rPr>
          <w:rFonts w:ascii="Times New Roman" w:cs="Times New Roman" w:eastAsia="Times New Roman" w:hAnsi="Times New Roman"/>
          <w:sz w:val="18"/>
          <w:szCs w:val="18"/>
          <w:color w:val="auto"/>
        </w:rPr>
        <w:t xml:space="preserve"> in advance of any publication thereof and shall consider in good faith such revisions to such proposed disclosure as Subscriber shall reasonably request.</w:t>
      </w:r>
    </w:p>
    <w:p>
      <w:pPr>
        <w:spacing w:after="0" w:line="187" w:lineRule="exact"/>
        <w:rPr>
          <w:sz w:val="20"/>
          <w:szCs w:val="20"/>
          <w:color w:val="auto"/>
        </w:rPr>
      </w:pPr>
    </w:p>
    <w:p>
      <w:pPr>
        <w:ind w:firstLine="436"/>
        <w:spacing w:after="0" w:line="252" w:lineRule="auto"/>
        <w:tabs>
          <w:tab w:leader="none" w:pos="7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Subscriber or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Apollomics,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any other investor pursuant hereto or thereto, shall be deemed to constitute Subscriber and Other Subscribers or any other investors as a partnership, an association, a joint venture or any other kind of entity, or create a presumption that Subscriber and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7" w:name="page28"/>
    <w:bookmarkEnd w:id="2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the parties hereto have executed or caused this Subscription Agreement to be executed by its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as of the date first set forth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APOLLOMICS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11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Apollomics, Inc.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989 E. Hillsdale Blvd., Suite 220</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Attn: Sanjeev Redkar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Email: sanjeev.redkar@apollomicsinc.com</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with a copy (not to constitute notice) to:</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555 South Flower Street, Suite 2700</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 Daniel Nussen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 daniel.nussen@whitecase.com</w:t>
      </w:r>
    </w:p>
    <w:p>
      <w:pPr>
        <w:spacing w:after="0" w:line="2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Subscription Agreement</w:t>
      </w:r>
    </w:p>
    <w:p>
      <w:pPr>
        <w:sectPr>
          <w:pgSz w:w="11900" w:h="16838" w:orient="portrait"/>
          <w:cols w:equalWidth="0" w:num="1">
            <w:col w:w="10780"/>
          </w:cols>
          <w:pgMar w:left="440" w:top="266" w:right="6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[SUBSCRIBER]</w:t>
            </w:r>
          </w:p>
        </w:tc>
      </w:tr>
      <w:tr>
        <w:trPr>
          <w:trHeight w:val="432"/>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Notices:</w:t>
            </w:r>
          </w:p>
        </w:tc>
      </w:tr>
      <w:tr>
        <w:trPr>
          <w:trHeight w:val="216"/>
        </w:trPr>
        <w:tc>
          <w:tcPr>
            <w:tcW w:w="3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0" w:type="dxa"/>
            <w:vAlign w:val="bottom"/>
            <w:tcBorders>
              <w:bottom w:val="single" w:sz="8" w:color="auto"/>
            </w:tcBorders>
            <w:gridSpan w:val="2"/>
          </w:tcPr>
          <w:p>
            <w:pPr>
              <w:spacing w:after="0"/>
              <w:rPr>
                <w:sz w:val="18"/>
                <w:szCs w:val="18"/>
                <w:color w:val="auto"/>
              </w:rPr>
            </w:pPr>
          </w:p>
        </w:tc>
      </w:tr>
      <w:tr>
        <w:trPr>
          <w:trHeight w:val="223"/>
        </w:trPr>
        <w:tc>
          <w:tcPr>
            <w:tcW w:w="3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0" w:type="dxa"/>
            <w:vAlign w:val="bottom"/>
            <w:tcBorders>
              <w:bottom w:val="single" w:sz="8" w:color="auto"/>
            </w:tcBorders>
            <w:gridSpan w:val="2"/>
          </w:tcPr>
          <w:p>
            <w:pPr>
              <w:spacing w:after="0"/>
              <w:rPr>
                <w:sz w:val="19"/>
                <w:szCs w:val="19"/>
                <w:color w:val="auto"/>
              </w:rPr>
            </w:pPr>
          </w:p>
        </w:tc>
      </w:tr>
      <w:tr>
        <w:trPr>
          <w:trHeight w:val="439"/>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for Notices:</w:t>
            </w:r>
          </w:p>
        </w:tc>
      </w:tr>
      <w:tr>
        <w:trPr>
          <w:trHeight w:val="432"/>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tcBorders>
              <w:bottom w:val="single" w:sz="8" w:color="auto"/>
            </w:tcBorders>
            <w:gridSpan w:val="2"/>
          </w:tcPr>
          <w:p>
            <w:pPr>
              <w:spacing w:after="0"/>
              <w:rPr>
                <w:sz w:val="24"/>
                <w:szCs w:val="24"/>
                <w:color w:val="auto"/>
              </w:rPr>
            </w:pPr>
          </w:p>
        </w:tc>
      </w:tr>
      <w:tr>
        <w:trPr>
          <w:trHeight w:val="439"/>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 which shares are to be registered:</w:t>
            </w:r>
          </w:p>
        </w:tc>
      </w:tr>
      <w:tr>
        <w:trPr>
          <w:trHeight w:val="432"/>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r>
        <w:trPr>
          <w:trHeight w:val="46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Number of Subscribed Shares subscribed for:</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Price Per Subscribed Share:</w:t>
            </w:r>
          </w:p>
        </w:tc>
        <w:tc>
          <w:tcPr>
            <w:tcW w:w="2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8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712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You must pay the Purchase Price by wire transfer of United States dollars in immediately available funds to the account of Apollomics specified by Apollomics.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Subscription Agreement</w:t>
      </w:r>
    </w:p>
    <w:p>
      <w:pPr>
        <w:sectPr>
          <w:pgSz w:w="11900" w:h="16838" w:orient="portrait"/>
          <w:cols w:equalWidth="0" w:num="1">
            <w:col w:w="11020"/>
          </w:cols>
          <w:pgMar w:left="440" w:top="266" w:right="439" w:bottom="1440" w:gutter="0" w:footer="0" w:header="0"/>
        </w:sectPr>
      </w:pPr>
    </w:p>
    <w:bookmarkStart w:id="29" w:name="page30"/>
    <w:bookmarkEnd w:id="29"/>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2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This Annex A should be completed and signed by Subscriber</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and constitutes a part of the Subscription Agreement.</w:t>
      </w:r>
    </w:p>
    <w:p>
      <w:pPr>
        <w:spacing w:after="0" w:line="234"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box, if applicable)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 “qualified institutional buyer” (as defined in Rule 144A under the Securities Act) (a “QIB”)</w:t>
      </w:r>
    </w:p>
    <w:p>
      <w:pPr>
        <w:spacing w:after="0" w:line="130" w:lineRule="exact"/>
        <w:rPr>
          <w:rFonts w:ascii="MS PGothic" w:cs="MS PGothic" w:eastAsia="MS PGothic" w:hAnsi="MS PGothic"/>
          <w:sz w:val="18"/>
          <w:szCs w:val="18"/>
          <w:color w:val="auto"/>
        </w:rPr>
      </w:pPr>
    </w:p>
    <w:p>
      <w:pPr>
        <w:ind w:left="964" w:right="40" w:hanging="532"/>
        <w:spacing w:after="0" w:line="282" w:lineRule="auto"/>
        <w:tabs>
          <w:tab w:leader="none" w:pos="964"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subscribing for the Subscribed Shares as a fiduciary or agent for one or more investor accounts, and each owner of such account is a QIB.</w:t>
      </w:r>
    </w:p>
    <w:p>
      <w:pPr>
        <w:spacing w:after="0" w:line="67" w:lineRule="exact"/>
        <w:rPr>
          <w:rFonts w:ascii="MS PGothic" w:cs="MS PGothic" w:eastAsia="MS PGothic" w:hAnsi="MS PGothic"/>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box)</w:t>
      </w:r>
    </w:p>
    <w:p>
      <w:pPr>
        <w:spacing w:after="0" w:line="130" w:lineRule="exact"/>
        <w:rPr>
          <w:rFonts w:ascii="Times New Roman" w:cs="Times New Roman" w:eastAsia="Times New Roman" w:hAnsi="Times New Roman"/>
          <w:sz w:val="18"/>
          <w:szCs w:val="18"/>
          <w:color w:val="auto"/>
        </w:rPr>
      </w:pPr>
    </w:p>
    <w:p>
      <w:pPr>
        <w:jc w:val="both"/>
        <w:ind w:left="964" w:right="100" w:hanging="532"/>
        <w:spacing w:after="0" w:line="266" w:lineRule="auto"/>
        <w:tabs>
          <w:tab w:leader="none" w:pos="964"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“accredited investor” (within the meaning of Rule 501(a) under the Securities Act) or an entity in which all of the equity holders are accredited investors within the meaning of Rule 501(a) under the Securities Act, and has marked and initialed the appropriate box below indicating the provision under which it qualifies as an “accredited investor.”</w:t>
      </w:r>
    </w:p>
    <w:p>
      <w:pPr>
        <w:spacing w:after="0" w:line="81" w:lineRule="exact"/>
        <w:rPr>
          <w:rFonts w:ascii="MS PGothic" w:cs="MS PGothic" w:eastAsia="MS PGothic" w:hAnsi="MS PGothic"/>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check the applicable box)</w:t>
      </w:r>
    </w:p>
    <w:p>
      <w:pPr>
        <w:spacing w:after="0" w:line="9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Apollomics or acting on behalf of an affiliate of Apollomics.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“accredited investor.”</w:t>
      </w:r>
    </w:p>
    <w:p>
      <w:pPr>
        <w:spacing w:after="0" w:line="85" w:lineRule="exact"/>
        <w:rPr>
          <w:sz w:val="20"/>
          <w:szCs w:val="20"/>
          <w:color w:val="auto"/>
        </w:rPr>
      </w:pPr>
    </w:p>
    <w:p>
      <w:pPr>
        <w:ind w:left="964" w:right="440" w:hanging="532"/>
        <w:spacing w:after="0" w:line="282" w:lineRule="auto"/>
        <w:tabs>
          <w:tab w:leader="none" w:pos="964"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67" w:lineRule="exact"/>
        <w:rPr>
          <w:rFonts w:ascii="MS PGothic" w:cs="MS PGothic" w:eastAsia="MS PGothic" w:hAnsi="MS PGothic"/>
          <w:sz w:val="18"/>
          <w:szCs w:val="18"/>
          <w:color w:val="auto"/>
        </w:rPr>
      </w:pPr>
    </w:p>
    <w:p>
      <w:pPr>
        <w:ind w:left="964" w:right="580" w:hanging="532"/>
        <w:spacing w:after="0" w:line="266" w:lineRule="auto"/>
        <w:tabs>
          <w:tab w:leader="none" w:pos="964"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 or, if a self-directed plan, with investment decisions made solely by persons that are accredited investors;</w:t>
      </w:r>
    </w:p>
    <w:p>
      <w:pPr>
        <w:sectPr>
          <w:pgSz w:w="11900" w:h="16838" w:orient="portrait"/>
          <w:cols w:equalWidth="0" w:num="1">
            <w:col w:w="10944"/>
          </w:cols>
          <w:pgMar w:left="436" w:top="266" w:right="519" w:bottom="1440" w:gutter="0" w:footer="0" w:header="0"/>
        </w:sectPr>
      </w:pPr>
    </w:p>
    <w:bookmarkStart w:id="30" w:name="page31"/>
    <w:bookmarkEnd w:id="30"/>
    <w:p>
      <w:pPr>
        <w:ind w:left="532" w:hanging="532"/>
        <w:spacing w:after="0"/>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private business development company as defined in Section 202(a)(22) of the Investment Advisers Act of 1940;</w:t>
      </w:r>
    </w:p>
    <w:p>
      <w:pPr>
        <w:spacing w:after="0" w:line="130" w:lineRule="exact"/>
        <w:rPr>
          <w:rFonts w:ascii="MS PGothic" w:cs="MS PGothic" w:eastAsia="MS PGothic" w:hAnsi="MS PGothic"/>
          <w:sz w:val="18"/>
          <w:szCs w:val="18"/>
          <w:color w:val="auto"/>
        </w:rPr>
      </w:pPr>
    </w:p>
    <w:p>
      <w:pPr>
        <w:ind w:left="532" w:right="120" w:hanging="532"/>
        <w:spacing w:after="0" w:line="282" w:lineRule="auto"/>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67" w:lineRule="exact"/>
        <w:rPr>
          <w:rFonts w:ascii="MS PGothic" w:cs="MS PGothic" w:eastAsia="MS PGothic" w:hAnsi="MS PGothic"/>
          <w:sz w:val="18"/>
          <w:szCs w:val="18"/>
          <w:color w:val="auto"/>
        </w:rPr>
      </w:pPr>
    </w:p>
    <w:p>
      <w:pPr>
        <w:ind w:left="532" w:right="140" w:hanging="532"/>
        <w:spacing w:after="0" w:line="282" w:lineRule="auto"/>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corporation, similar business trust, partnership or any organization described in Section 501(c)(3) of the Internal Revenue Code, not formed for the specific purpose of acquiring the securities offered, with total assets in excess of $5,000,000;</w:t>
      </w:r>
    </w:p>
    <w:p>
      <w:pPr>
        <w:spacing w:after="0" w:line="67" w:lineRule="exact"/>
        <w:rPr>
          <w:rFonts w:ascii="MS PGothic" w:cs="MS PGothic" w:eastAsia="MS PGothic" w:hAnsi="MS PGothic"/>
          <w:sz w:val="18"/>
          <w:szCs w:val="18"/>
          <w:color w:val="auto"/>
        </w:rPr>
      </w:pPr>
    </w:p>
    <w:p>
      <w:pPr>
        <w:ind w:left="532" w:right="100" w:hanging="532"/>
        <w:spacing w:after="0" w:line="282" w:lineRule="auto"/>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67" w:lineRule="exact"/>
        <w:rPr>
          <w:rFonts w:ascii="MS PGothic" w:cs="MS PGothic" w:eastAsia="MS PGothic" w:hAnsi="MS PGothic"/>
          <w:sz w:val="18"/>
          <w:szCs w:val="18"/>
          <w:color w:val="auto"/>
        </w:rPr>
      </w:pPr>
    </w:p>
    <w:p>
      <w:pPr>
        <w:ind w:left="532" w:hanging="532"/>
        <w:spacing w:after="0"/>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w:t>
      </w:r>
    </w:p>
    <w:p>
      <w:pPr>
        <w:spacing w:after="0" w:line="29" w:lineRule="exact"/>
        <w:rPr>
          <w:rFonts w:ascii="MS PGothic" w:cs="MS PGothic" w:eastAsia="MS PGothic" w:hAnsi="MS PGothic"/>
          <w:sz w:val="18"/>
          <w:szCs w:val="18"/>
          <w:color w:val="auto"/>
        </w:rPr>
      </w:pPr>
    </w:p>
    <w:p>
      <w:pPr>
        <w:ind w:left="532"/>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$1,000,000. For purposes of calculating a natural person’s net worth: (a) the person’s primary residence must not be included as an asset;</w:t>
      </w:r>
    </w:p>
    <w:p>
      <w:pPr>
        <w:spacing w:after="0" w:line="7" w:lineRule="exact"/>
        <w:rPr>
          <w:rFonts w:ascii="MS PGothic" w:cs="MS PGothic" w:eastAsia="MS PGothic" w:hAnsi="MS PGothic"/>
          <w:sz w:val="18"/>
          <w:szCs w:val="18"/>
          <w:color w:val="auto"/>
        </w:rPr>
      </w:pPr>
    </w:p>
    <w:p>
      <w:pPr>
        <w:ind w:left="532" w:right="40"/>
        <w:spacing w:after="0" w:line="253"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92" w:lineRule="exact"/>
        <w:rPr>
          <w:rFonts w:ascii="MS PGothic" w:cs="MS PGothic" w:eastAsia="MS PGothic" w:hAnsi="MS PGothic"/>
          <w:sz w:val="18"/>
          <w:szCs w:val="18"/>
          <w:color w:val="auto"/>
        </w:rPr>
      </w:pPr>
    </w:p>
    <w:p>
      <w:pPr>
        <w:jc w:val="both"/>
        <w:ind w:left="532" w:right="280" w:hanging="532"/>
        <w:spacing w:after="0" w:line="266" w:lineRule="auto"/>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81" w:lineRule="exact"/>
        <w:rPr>
          <w:rFonts w:ascii="MS PGothic" w:cs="MS PGothic" w:eastAsia="MS PGothic" w:hAnsi="MS PGothic"/>
          <w:sz w:val="18"/>
          <w:szCs w:val="18"/>
          <w:color w:val="auto"/>
        </w:rPr>
      </w:pPr>
    </w:p>
    <w:p>
      <w:pPr>
        <w:ind w:left="532" w:hanging="532"/>
        <w:spacing w:after="0" w:line="282" w:lineRule="auto"/>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 as described in § 230.506(b)(2)(ii);</w:t>
      </w:r>
    </w:p>
    <w:p>
      <w:pPr>
        <w:spacing w:after="0" w:line="67" w:lineRule="exact"/>
        <w:rPr>
          <w:rFonts w:ascii="MS PGothic" w:cs="MS PGothic" w:eastAsia="MS PGothic" w:hAnsi="MS PGothic"/>
          <w:sz w:val="18"/>
          <w:szCs w:val="18"/>
          <w:color w:val="auto"/>
        </w:rPr>
      </w:pPr>
    </w:p>
    <w:p>
      <w:pPr>
        <w:ind w:left="532" w:hanging="532"/>
        <w:spacing w:after="0"/>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or</w:t>
      </w:r>
    </w:p>
    <w:p>
      <w:pPr>
        <w:spacing w:after="0" w:line="130" w:lineRule="exact"/>
        <w:rPr>
          <w:rFonts w:ascii="MS PGothic" w:cs="MS PGothic" w:eastAsia="MS PGothic" w:hAnsi="MS PGothic"/>
          <w:sz w:val="18"/>
          <w:szCs w:val="18"/>
          <w:color w:val="auto"/>
        </w:rPr>
      </w:pPr>
    </w:p>
    <w:p>
      <w:pPr>
        <w:ind w:left="532" w:hanging="532"/>
        <w:spacing w:after="0" w:line="282" w:lineRule="auto"/>
        <w:tabs>
          <w:tab w:leader="none" w:pos="53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of a type not listed above, not formed for the specific purpose of acquiring the securities offered, owning investments in excess of $5,000,000.</w:t>
      </w:r>
    </w:p>
    <w:p>
      <w:pPr>
        <w:spacing w:after="0" w:line="374" w:lineRule="exact"/>
        <w:rPr>
          <w:sz w:val="20"/>
          <w:szCs w:val="20"/>
          <w:color w:val="auto"/>
        </w:rPr>
      </w:pPr>
    </w:p>
    <w:p>
      <w:pPr>
        <w:ind w:left="1412"/>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Subscriber and constitutes a part of the Subscription Agreement.</w:t>
      </w:r>
    </w:p>
    <w:p>
      <w:pPr>
        <w:sectPr>
          <w:pgSz w:w="11900" w:h="16838" w:orient="portrait"/>
          <w:cols w:equalWidth="0" w:num="1">
            <w:col w:w="10532"/>
          </w:cols>
          <w:pgMar w:left="868" w:top="270" w:right="499"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SUBSCRIBER</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66"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37310"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Apollomics Announces Private Placement Financing and Addition to Board of Directors</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FOSTER CITY</w:t>
      </w:r>
      <w:r>
        <w:rPr>
          <w:rFonts w:ascii="Times New Roman" w:cs="Times New Roman" w:eastAsia="Times New Roman" w:hAnsi="Times New Roman"/>
          <w:sz w:val="18"/>
          <w:szCs w:val="18"/>
          <w:color w:val="auto"/>
        </w:rPr>
        <w:t>, CALIF. – May 8, 2024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Apollomics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APLM</w:t>
      </w:r>
      <w:r>
        <w:rPr>
          <w:rFonts w:ascii="Times New Roman" w:cs="Times New Roman" w:eastAsia="Times New Roman" w:hAnsi="Times New Roman"/>
          <w:sz w:val="18"/>
          <w:szCs w:val="18"/>
          <w:color w:val="auto"/>
        </w:rPr>
        <w:t>), a clinical-stage biopharmaceutical company developing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drug candidates to address difficult-to-treat and treatment-resistant cancers, today announced that it entered into subscription agreements for a private investment in public equity (“PIPE”) financing that is expected to result in gross proceeds of approximately $6 million to the Company, before deducting offering expenses. The PIPE financing included participation from both new and existing investors.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terms of the subscription agreements, Apollomics is selling an aggregate of 19,166,666 Class A ordinary shares at a price of $0.30 per share. The PIPE financing is expected to close on May 8, 2024, subject to satisfaction of customary closing conditions.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Apollomics intends to use the net proceeds from the PIPE financing, together with the Apollomics’ existing cash, cash equivalents, and marketable securities, to fund its pipeline programs, and for general corporate purposes and working capital.</w:t>
      </w:r>
    </w:p>
    <w:p>
      <w:pPr>
        <w:spacing w:after="0" w:line="16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Apollomics also announced today the appointment of Dr. Robert (Bob) Lin, M.D., Ph.D. to the board of directors of Apollomics. Dr. Lin is a physician and researcher who has conducted multinational clinical trials and is experienced in genomics, proteomics and biotech transactions. Dr. Lin has served as the vice director of the Internal Medicine Department at a tertiary medical center in Taiwan and conducted post-doctoral research at Lawrence Berkeley Laboratory in the United States. In addition, Jonathan Wang, Ph.D. has resigned from the board of directors, due to personal reasons.</w:t>
      </w:r>
    </w:p>
    <w:p>
      <w:pPr>
        <w:spacing w:after="0" w:line="1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behalf of Apollomics, we welcome Dr. Lin to the company. He brings valuable medical and biotech experience to our Board,” said Dr. Guo-Liang Yu, Ph.D., Chairman and Chief Executive Officer of Apollomics. “I would like to thank Dr. Wang for his impactful leadership and his valuable contributions to the company over the last eight years, and wish him well in his future endeavors.”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is acting as financial advisor to Apollomics for the PIPE financing.</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offer and sale of the foregoing securities are being made in a transaction not involving a public offering and the securities have not been registered under the Securities Act of 1933, as amended, and may not be reoffered or resold in the United States except pursuant to an effective registration statement or an applicable exemption from the registration requirements. Pursuant to the subscription agreements, the Company has agreed to file a registration statement with the Securities and Exchange Commission (the “SEC”) registering the resale of the Class A ordinary shares sold in the PIPE financing.</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ectPr>
          <w:pgSz w:w="11900" w:h="16838" w:orient="portrait"/>
          <w:cols w:equalWidth="0" w:num="1">
            <w:col w:w="11020"/>
          </w:cols>
          <w:pgMar w:left="440" w:top="117" w:right="439" w:bottom="1440" w:gutter="0" w:footer="0" w:header="0"/>
        </w:sectPr>
      </w:pPr>
    </w:p>
    <w:bookmarkStart w:id="33" w:name="page34"/>
    <w:bookmarkEnd w:id="3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37310"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t xml:space="preserve">About </w:t>
      </w:r>
      <w:r>
        <w:rPr>
          <w:rFonts w:ascii="Times New Roman" w:cs="Times New Roman" w:eastAsia="Times New Roman" w:hAnsi="Times New Roman"/>
          <w:sz w:val="18"/>
          <w:szCs w:val="18"/>
          <w:b w:val="1"/>
          <w:bCs w:val="1"/>
          <w:u w:val="single" w:color="auto"/>
          <w:color w:val="auto"/>
        </w:rPr>
        <w:t>Apollomics Inc.</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 xml:space="preserve">Apollomics Inc. is an innovative clinical-stage biopharmaceutical company focused on the discovery and development of oncology therapies with the potential to be combined with other treatment options to harness the immune system and target specific molecular pathways to inhibit cancer. Apollomics currently has a pipeline of nine drug candidates across multiple programs, six of which are currently in the clinical stage of development. Apollomics’ lead programs include vebreltinib (APL-101), a potent, selective c-Met inhibitor for the treatment of non-small cell lung cancer and other advanced tumors with c-Met alterations, and uproleselan (APL-106), a specific E-Selectin antagonist that has the potential to be used adjunctively with standard chemotherapy to treat acute myeloid leukemia. For more information, please visit </w:t>
      </w:r>
      <w:r>
        <w:rPr>
          <w:rFonts w:ascii="Times New Roman" w:cs="Times New Roman" w:eastAsia="Times New Roman" w:hAnsi="Times New Roman"/>
          <w:sz w:val="18"/>
          <w:szCs w:val="18"/>
          <w:u w:val="single" w:color="auto"/>
          <w:color w:val="auto"/>
        </w:rPr>
        <w:t>www.apollomicsinc.com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within the meaning of the federal securities laws, including</w:t>
      </w:r>
    </w:p>
    <w:p>
      <w:pPr>
        <w:spacing w:after="0" w:line="27" w:lineRule="exact"/>
        <w:rPr>
          <w:sz w:val="20"/>
          <w:szCs w:val="20"/>
          <w:color w:val="auto"/>
        </w:rPr>
      </w:pPr>
    </w:p>
    <w:p>
      <w:pPr>
        <w:ind w:left="4" w:right="40"/>
        <w:spacing w:after="0" w:line="250" w:lineRule="auto"/>
        <w:rPr>
          <w:sz w:val="20"/>
          <w:szCs w:val="20"/>
          <w:color w:val="auto"/>
        </w:rPr>
      </w:pPr>
      <w:r>
        <w:rPr>
          <w:rFonts w:ascii="Times New Roman" w:cs="Times New Roman" w:eastAsia="Times New Roman" w:hAnsi="Times New Roman"/>
          <w:sz w:val="18"/>
          <w:szCs w:val="18"/>
          <w:color w:val="auto"/>
        </w:rPr>
        <w:t>Section 27A of the Securities Act of 1933, as amended (the “Securities Act”), and Section 21E of the Securities Exchange Act of 1934, as amended (the “Exchange Act”). All statements, other than statements of present or historical fact included in this press release, regarding the closing of the PIPE financing, clinical trials and results, as well as the Company’s strategy, business plans and objectives of management are forward-looking statements. In addition, Apollomics cautions you that the forward-looking statements contained in this press release are subject to unknown risks, uncertainties and other factors, including: (i) Apollomics’ ability to raise additional capital to meet its operating cash requirements and expectations regarding incurring net losses and net operating cash outflows; (ii) the ability of Apollomics to maintain the listing of its Class A ordinary shares on Nasdaq</w:t>
      </w:r>
    </w:p>
    <w:p>
      <w:pPr>
        <w:spacing w:after="0" w:line="2" w:lineRule="exact"/>
        <w:rPr>
          <w:sz w:val="20"/>
          <w:szCs w:val="20"/>
          <w:color w:val="auto"/>
        </w:rPr>
      </w:pPr>
    </w:p>
    <w:p>
      <w:pPr>
        <w:ind w:left="4" w:hanging="4"/>
        <w:spacing w:after="0" w:line="251" w:lineRule="auto"/>
        <w:tabs>
          <w:tab w:leader="none" w:pos="3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achieve successful clinical results; (iv) Apollomics’ ability to commercialize its product candidates; (v) Apollomics’ ability to develop and maintain effective internal controls over financial reporting; (vi) the impact of any current or new government regulations in the United States and China affecting Apollomics’ operations; (vii) Apollomics’ ability to obtain licensing of third-party intellectual property rights for future discovery and development of Apollomics’ oncology projects; (viii) the failure to protect Apollomics’ intellectual property; (v) breaches in data security; and other risks included in the Annual Report on Form 20-F filed with the SEC and other SEC filings that are available publicly on the SEC’s website at www.sec.gov. Apollomics undertakes no obligation to update publicly any of these forward-looking statements to reflect actual results, new information or future events, changes in assumptions or changes in other factors affecting forward-looking statements, except to the extent required by applicable laws.</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Peter Vozzo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ICR Westwicke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Peter.Vozzo@westwicke.com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+1-443-213-0505</w:t>
      </w:r>
    </w:p>
    <w:p>
      <w:pPr>
        <w:sectPr>
          <w:pgSz w:w="11900" w:h="16838" w:orient="portrait"/>
          <w:cols w:equalWidth="0" w:num="1">
            <w:col w:w="10984"/>
          </w:cols>
          <w:pgMar w:left="436" w:top="1319"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37310"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Sean.Leous@westwicke.com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+1-646-866-4012</w:t>
      </w:r>
    </w:p>
    <w:sectPr>
      <w:pgSz w:w="11900" w:h="16838" w:orient="portrait"/>
      <w:cols w:equalWidth="0" w:num="1">
        <w:col w:w="10019"/>
      </w:cols>
      <w:pgMar w:left="440" w:top="13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1"/>
    </w:lvl>
  </w:abstractNum>
  <w:abstractNum w:abstractNumId="1">
    <w:nsid w:val="628C895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
    <w:nsid w:val="333AB105"/>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
    <w:nsid w:val="721DA317"/>
    <w:multiLevelType w:val="hybridMultilevel"/>
    <w:lvl w:ilvl="0">
      <w:lvlJc w:val="left"/>
      <w:lvlText w:val="%1"/>
      <w:numFmt w:val="lowerLetter"/>
      <w:start w:val="1"/>
    </w:lvl>
    <w:lvl w:ilvl="1">
      <w:lvlJc w:val="left"/>
      <w:lvlText w:val="(%2)"/>
      <w:numFmt w:val="lowerRoman"/>
      <w:start w:val="2"/>
    </w:lvl>
  </w:abstractNum>
  <w:abstractNum w:abstractNumId="4">
    <w:nsid w:val="2443A858"/>
    <w:multiLevelType w:val="hybridMultilevel"/>
    <w:lvl w:ilvl="0">
      <w:lvlJc w:val="left"/>
      <w:lvlText w:val="(%1)"/>
      <w:numFmt w:val="lowerLetter"/>
      <w:start w:val="7"/>
    </w:lvl>
    <w:lvl w:ilvl="1">
      <w:lvlJc w:val="left"/>
      <w:lvlText w:val="(%2)"/>
      <w:numFmt w:val="lowerRoman"/>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5"/>
    </w:lvl>
  </w:abstractNum>
  <w:abstractNum w:abstractNumId="7">
    <w:nsid w:val="75A2A8D4"/>
    <w:multiLevelType w:val="hybridMultilevel"/>
    <w:lvl w:ilvl="0">
      <w:lvlJc w:val="left"/>
      <w:lvlText w:val="%1"/>
      <w:numFmt w:val="lowerRoman"/>
      <w:start w:val="1"/>
    </w:lvl>
    <w:lvl w:ilvl="1">
      <w:lvlJc w:val="left"/>
      <w:lvlText w:val="(%2)"/>
      <w:numFmt w:val="lowerLetter"/>
      <w:start w:val="10"/>
    </w:lvl>
  </w:abstractNum>
  <w:abstractNum w:abstractNumId="8">
    <w:nsid w:val="8EDBDAB"/>
    <w:multiLevelType w:val="hybridMultilevel"/>
    <w:lvl w:ilvl="0">
      <w:lvlJc w:val="left"/>
      <w:lvlText w:val="(%1)"/>
      <w:numFmt w:val="lowerRoman"/>
      <w:start w:val="4"/>
    </w:lvl>
    <w:lvl w:ilvl="1">
      <w:lvlJc w:val="left"/>
      <w:lvlText w:val="(%2)"/>
      <w:numFmt w:val="lowerLetter"/>
      <w:start w:val="11"/>
    </w:lvl>
  </w:abstractNum>
  <w:abstractNum w:abstractNumId="9">
    <w:nsid w:val="79838CB2"/>
    <w:multiLevelType w:val="hybridMultilevel"/>
    <w:lvl w:ilvl="0">
      <w:lvlJc w:val="left"/>
      <w:lvlText w:val="(%1)"/>
      <w:numFmt w:val="lowerLetter"/>
      <w:start w:val="12"/>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3"/>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upperLetter"/>
      <w:start w:val="1"/>
    </w:lvl>
  </w:abstractNum>
  <w:abstractNum w:abstractNumId="14">
    <w:nsid w:val="71F32454"/>
    <w:multiLevelType w:val="hybridMultilevel"/>
    <w:lvl w:ilvl="0">
      <w:lvlJc w:val="left"/>
      <w:lvlText w:val="(%1)"/>
      <w:numFmt w:val="lowerLetter"/>
      <w:start w:val="7"/>
    </w:lvl>
  </w:abstractNum>
  <w:abstractNum w:abstractNumId="15">
    <w:nsid w:val="2CA88611"/>
    <w:multiLevelType w:val="hybridMultilevel"/>
    <w:lvl w:ilvl="0">
      <w:lvlJc w:val="left"/>
      <w:lvlText w:val="(%1)"/>
      <w:numFmt w:val="lowerLetter"/>
      <w:start w:val="12"/>
    </w:lvl>
  </w:abstractNum>
  <w:abstractNum w:abstractNumId="16">
    <w:nsid w:val="836C40E"/>
    <w:multiLevelType w:val="hybridMultilevel"/>
    <w:lvl w:ilvl="0">
      <w:lvlJc w:val="left"/>
      <w:lvlText w:val="(%1)"/>
      <w:numFmt w:val="lowerLetter"/>
      <w:start w:val="16"/>
    </w:lvl>
  </w:abstractNum>
  <w:abstractNum w:abstractNumId="17">
    <w:nsid w:val="2901D82"/>
    <w:multiLevelType w:val="hybridMultilevel"/>
    <w:lvl w:ilvl="0">
      <w:lvlJc w:val="left"/>
      <w:lvlText w:val="(%1)"/>
      <w:numFmt w:val="lowerLetter"/>
      <w:start w:val="19"/>
    </w:lvl>
  </w:abstractNum>
  <w:abstractNum w:abstractNumId="18">
    <w:nsid w:val="3A95F874"/>
    <w:multiLevelType w:val="hybridMultilevel"/>
    <w:lvl w:ilvl="0">
      <w:lvlJc w:val="left"/>
      <w:lvlText w:val="%1"/>
      <w:numFmt w:val="lowerLetter"/>
      <w:start w:val="1"/>
    </w:lvl>
    <w:lvl w:ilvl="1">
      <w:lvlJc w:val="left"/>
      <w:lvlText w:val="(%2)"/>
      <w:numFmt w:val="lowerLetter"/>
      <w:start w:val="1"/>
    </w:lvl>
  </w:abstractNum>
  <w:abstractNum w:abstractNumId="19">
    <w:nsid w:val="8138641"/>
    <w:multiLevelType w:val="hybridMultilevel"/>
    <w:lvl w:ilvl="0">
      <w:lvlJc w:val="left"/>
      <w:lvlText w:val="(%1)"/>
      <w:numFmt w:val="lowerLetter"/>
      <w:start w:val="9"/>
    </w:lvl>
    <w:lvl w:ilvl="1">
      <w:lvlJc w:val="left"/>
      <w:lvlText w:val="%2"/>
      <w:numFmt w:val="lowerLetter"/>
      <w:start w:val="1"/>
    </w:lvl>
  </w:abstractNum>
  <w:abstractNum w:abstractNumId="20">
    <w:nsid w:val="1E7FF521"/>
    <w:multiLevelType w:val="hybridMultilevel"/>
    <w:lvl w:ilvl="0">
      <w:lvlJc w:val="left"/>
      <w:lvlText w:val="(%1)"/>
      <w:numFmt w:val="lowerLetter"/>
      <w:start w:val="25"/>
    </w:lvl>
  </w:abstractNum>
  <w:abstractNum w:abstractNumId="21">
    <w:nsid w:val="7C3DBD3D"/>
    <w:multiLevelType w:val="hybridMultilevel"/>
    <w:lvl w:ilvl="0">
      <w:lvlJc w:val="left"/>
      <w:lvlText w:val="(%1)"/>
      <w:numFmt w:val="lowerLetter"/>
      <w:start w:val="2"/>
    </w:lvl>
    <w:lvl w:ilvl="1">
      <w:lvlJc w:val="left"/>
      <w:lvlText w:val="(%2)"/>
      <w:numFmt w:val="lowerRoman"/>
      <w:start w:val="1"/>
    </w:lvl>
  </w:abstractNum>
  <w:abstractNum w:abstractNumId="22">
    <w:nsid w:val="737B8DDC"/>
    <w:multiLevelType w:val="hybridMultilevel"/>
    <w:lvl w:ilvl="0">
      <w:lvlJc w:val="left"/>
      <w:lvlText w:val="(%1)"/>
      <w:numFmt w:val="lowerLetter"/>
      <w:start w:val="3"/>
    </w:lvl>
  </w:abstractNum>
  <w:abstractNum w:abstractNumId="23">
    <w:nsid w:val="6CEAF087"/>
    <w:multiLevelType w:val="hybridMultilevel"/>
    <w:lvl w:ilvl="0">
      <w:lvlJc w:val="left"/>
      <w:lvlText w:val="(%1)"/>
      <w:numFmt w:val="lowerLetter"/>
      <w:start w:val="6"/>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lowerLetter"/>
      <w:start w:val="5"/>
    </w:lvl>
  </w:abstractNum>
  <w:abstractNum w:abstractNumId="28">
    <w:nsid w:val="419AC241"/>
    <w:multiLevelType w:val="hybridMultilevel"/>
    <w:lvl w:ilvl="0">
      <w:lvlJc w:val="left"/>
      <w:lvlText w:val="%1"/>
      <w:numFmt w:val="lowerLetter"/>
      <w:start w:val="1"/>
    </w:lvl>
    <w:lvl w:ilvl="1">
      <w:lvlJc w:val="left"/>
      <w:lvlText w:val="(%2)"/>
      <w:numFmt w:val="lowerLetter"/>
      <w:start w:val="1"/>
    </w:lvl>
  </w:abstractNum>
  <w:abstractNum w:abstractNumId="29">
    <w:nsid w:val="5577F8E1"/>
    <w:multiLevelType w:val="hybridMultilevel"/>
    <w:lvl w:ilvl="0">
      <w:lvlJc w:val="left"/>
      <w:lvlText w:val="(%1)"/>
      <w:numFmt w:val="lowerLetter"/>
      <w:start w:val="9"/>
    </w:lvl>
    <w:lvl w:ilvl="1">
      <w:lvlJc w:val="left"/>
      <w:lvlText w:val="%2"/>
      <w:numFmt w:val="lowerLetter"/>
      <w:start w:val="1"/>
    </w:lvl>
  </w:abstractNum>
  <w:abstractNum w:abstractNumId="30">
    <w:nsid w:val="440BADFC"/>
    <w:multiLevelType w:val="hybridMultilevel"/>
    <w:lvl w:ilvl="0">
      <w:lvlJc w:val="left"/>
      <w:lvlText w:val="(%1)"/>
      <w:numFmt w:val="lowerLetter"/>
      <w:start w:val="61"/>
    </w:lvl>
    <w:lvl w:ilvl="1">
      <w:lvlJc w:val="left"/>
      <w:lvlText w:val="(%2)"/>
      <w:numFmt w:val="lowerLetter"/>
      <w:start w:val="2"/>
    </w:lvl>
  </w:abstractNum>
  <w:abstractNum w:abstractNumId="31">
    <w:nsid w:val="5072367"/>
    <w:multiLevelType w:val="hybridMultilevel"/>
    <w:lvl w:ilvl="0">
      <w:lvlJc w:val="left"/>
      <w:lvlText w:val="(%1)"/>
      <w:numFmt w:val="lowerLetter"/>
      <w:start w:val="3"/>
    </w:lvl>
  </w:abstractNum>
  <w:abstractNum w:abstractNumId="32">
    <w:nsid w:val="3804823E"/>
    <w:multiLevelType w:val="hybridMultilevel"/>
    <w:lvl w:ilvl="0">
      <w:lvlJc w:val="left"/>
      <w:lvlText w:val="(%1)"/>
      <w:numFmt w:val="lowerLetter"/>
      <w:start w:val="10"/>
    </w:lvl>
  </w:abstractNum>
  <w:abstractNum w:abstractNumId="33">
    <w:nsid w:val="77465F01"/>
    <w:multiLevelType w:val="hybridMultilevel"/>
    <w:lvl w:ilvl="0">
      <w:lvlJc w:val="left"/>
      <w:lvlText w:val="(%1)"/>
      <w:numFmt w:val="lowerLetter"/>
      <w:start w:val="14"/>
    </w:lvl>
  </w:abstractNum>
  <w:abstractNum w:abstractNumId="34">
    <w:nsid w:val="7724C67E"/>
    <w:multiLevelType w:val="hybridMultilevel"/>
    <w:lvl w:ilvl="0">
      <w:lvlJc w:val="left"/>
      <w:lvlText w:val="(%1)"/>
      <w:numFmt w:val="lowerLetter"/>
      <w:start w:val="19"/>
    </w:lvl>
  </w:abstractNum>
  <w:abstractNum w:abstractNumId="35">
    <w:nsid w:val="5C482A97"/>
    <w:multiLevelType w:val="hybridMultilevel"/>
    <w:lvl w:ilvl="0">
      <w:lvlJc w:val="left"/>
      <w:lvlText w:val="(%1)"/>
      <w:numFmt w:val="lowerLetter"/>
      <w:start w:val="23"/>
    </w:lvl>
  </w:abstractNum>
  <w:abstractNum w:abstractNumId="36">
    <w:nsid w:val="2463B9EA"/>
    <w:multiLevelType w:val="hybridMultilevel"/>
    <w:lvl w:ilvl="0">
      <w:lvlJc w:val="left"/>
      <w:lvlText w:val="%1."/>
      <w:numFmt w:val="upperLetter"/>
      <w:start w:val="1"/>
    </w:lvl>
    <w:lvl w:ilvl="1">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2024-05-08T15:22:59Z</dcterms:created>
  <dcterms:modified xsi:type="dcterms:W3CDTF">2024-05-08T15:22:59Z</dcterms:modified>
</cp:coreProperties>
</file>