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Yen Hung Hsien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668 ARROW GRAND CIR. SUITE 206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COVINA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Apollomics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APLM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50"/>
        <w:gridCol w:w="902"/>
        <w:gridCol w:w="771"/>
        <w:gridCol w:w="599"/>
        <w:gridCol w:w="347"/>
        <w:gridCol w:w="799"/>
        <w:gridCol w:w="452"/>
        <w:gridCol w:w="614"/>
        <w:gridCol w:w="1158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6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456"/>
        <w:gridCol w:w="906"/>
        <w:gridCol w:w="801"/>
        <w:gridCol w:w="11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23.18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09/14/2036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Class A Ordinary Share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was granted under the Apollomics Inc. 2023 Incentive Award Plan on September 14, 2026. The option vests and becomes exercisable over a one-year period: fifty percent (50%) of the shares subject to the option vest on March 14, 2027 (six months from the grant date), and the remaining fifty percent (50%) vest on September 14, 2027 (twelve months from the grant date), subject to the reporting person's continued service to the Issuer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RSUs were granted and previously reported on a Form 3 filed July 24, 2026. The initial RSU grant of 500 shares vested on September 15,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is being amended to correct the expiration date of the stock option.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Alison M. Pear,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3930" TargetMode="External"/><Relationship Id="rId5" Type="http://schemas.openxmlformats.org/officeDocument/2006/relationships/hyperlink" Target="http://www.sec.gov/cgi-bin/browse-edgar?action=getcompany&amp;CIK=0001944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741</Words>
  <Characters>3904</Characters>
  <CharactersWithSpaces>4551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