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Yi-Kuei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668 ARROW GRAND CIR. SUITE 206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COVINA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Apollomics Inc.</w:t>
              </w:r>
            </w:hyperlink>
            <w:r>
              <w:rPr/>
              <w:t xml:space="preserve"> [ </w:t>
            </w:r>
            <w:r>
              <w:rPr>
                <w:rFonts w:ascii="Times;serif" w:hAnsi="Times;serif"/>
                <w:color w:val="0000FF"/>
                <w:sz w:val="24"/>
                <w:shd w:fill="FFFFFF" w:val="clear"/>
              </w:rPr>
              <w:t>APLM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19"/>
        <w:gridCol w:w="789"/>
        <w:gridCol w:w="610"/>
        <w:gridCol w:w="343"/>
        <w:gridCol w:w="819"/>
        <w:gridCol w:w="428"/>
        <w:gridCol w:w="594"/>
        <w:gridCol w:w="1126"/>
        <w:gridCol w:w="974"/>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121,248</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Through Maxpro Investment Co., Ltd.</w:t>
            </w:r>
            <w:r>
              <w:rPr>
                <w:rFonts w:ascii="Times;serif" w:hAnsi="Times;serif"/>
                <w:color w:val="008000"/>
                <w:position w:val="7"/>
                <w:sz w:val="16"/>
                <w:sz w:val="20"/>
                <w:shd w:fill="FFFFFF" w:val="clear"/>
              </w:rPr>
              <w:t>(1)</w:t>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1146"/>
        <w:gridCol w:w="68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1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a member of the Board of Directors of Maxpro Investment Co., Ltd. and is co-founder and managing director of Maxpro Ventures Ltd. The amount reported includes a 100 share adjustment for shares previously owned but inadvertently omitted. Excludes 3,823 Class A Ordinary Shares issuable upon the exercise of warrants held directly by Maxpro Investment Co., Ltd., which were previously reported on the Form 3 filed March 18, 2026 and the Form 3/A filed April 14, 2026.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was granted under the Apollomics Inc. 2023 Incentive Award Plan on September 14, 2026. The option vests and becomes exercisable over a one-year period: fifty percent (50%) of the shares subject to the option vest on March 14, 2027 (six months from the grant date), and the remaining fifty percent (50%) vest on September 14, 2027 (twelve months from the grant date), subject to the reporting person's continued service to the Issuer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were granted and previously reported on a Form 3 filed March 18, 2026 and a Form 3/A filed April 14, 2026. Of the initial RSU grant, 5,000 shares vested on each of February 9, 2026, March 15, 2026, June 15, 2026 and September 15, 2026. This transaction represents the vesting of 5,000 RSUs on September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M. Pear,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32" TargetMode="External"/><Relationship Id="rId5" Type="http://schemas.openxmlformats.org/officeDocument/2006/relationships/hyperlink" Target="http://www.sec.gov/cgi-bin/browse-edgar?action=getcompany&amp;CIK=0001944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4580</Characters>
  <CharactersWithSpaces>5350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