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62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6201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Chen Yi-Kuei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Apollomics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APLM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2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989 E HILLSDALE BLVD,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FOSTER</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94404</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9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0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6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vMerge w:val="restart"/>
          </w:tcPr>
          <w:p>
            <w:pPr>
              <w:jc w:val="right"/>
              <w:ind w:right="431"/>
              <w:spacing w:after="0"/>
              <w:rPr>
                <w:sz w:val="20"/>
                <w:szCs w:val="20"/>
                <w:color w:val="auto"/>
              </w:rPr>
            </w:pPr>
            <w:r>
              <w:rPr>
                <w:rFonts w:ascii="Times New Roman" w:cs="Times New Roman" w:eastAsia="Times New Roman" w:hAnsi="Times New Roman"/>
                <w:sz w:val="20"/>
                <w:szCs w:val="20"/>
                <w:color w:val="0000FF"/>
              </w:rPr>
              <w:t>101,248</w:t>
            </w:r>
          </w:p>
        </w:tc>
        <w:tc>
          <w:tcPr>
            <w:tcW w:w="720" w:type="dxa"/>
            <w:vAlign w:val="bottom"/>
          </w:tcPr>
          <w:p>
            <w:pPr>
              <w:spacing w:after="0"/>
              <w:rPr>
                <w:sz w:val="20"/>
                <w:szCs w:val="20"/>
                <w:color w:val="auto"/>
              </w:rPr>
            </w:pPr>
          </w:p>
        </w:tc>
        <w:tc>
          <w:tcPr>
            <w:tcW w:w="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3360" w:type="dxa"/>
            <w:vAlign w:val="bottom"/>
            <w:gridSpan w:val="4"/>
          </w:tcPr>
          <w:p>
            <w:pPr>
              <w:ind w:left="580"/>
              <w:spacing w:after="0"/>
              <w:rPr>
                <w:sz w:val="20"/>
                <w:szCs w:val="20"/>
                <w:color w:val="auto"/>
              </w:rPr>
            </w:pPr>
            <w:r>
              <w:rPr>
                <w:rFonts w:ascii="Times New Roman" w:cs="Times New Roman" w:eastAsia="Times New Roman" w:hAnsi="Times New Roman"/>
                <w:sz w:val="20"/>
                <w:szCs w:val="20"/>
                <w:color w:val="0000FF"/>
              </w:rPr>
              <w:t>By Maxpro Investment Co., Ltd.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920" w:type="dxa"/>
            <w:vAlign w:val="bottom"/>
            <w:vMerge w:val="restart"/>
          </w:tcPr>
          <w:p>
            <w:pPr>
              <w:jc w:val="right"/>
              <w:ind w:right="125"/>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jc w:val="right"/>
              <w:ind w:right="491"/>
              <w:spacing w:after="0"/>
              <w:rPr>
                <w:sz w:val="20"/>
                <w:szCs w:val="20"/>
                <w:color w:val="auto"/>
              </w:rPr>
            </w:pPr>
            <w:r>
              <w:rPr>
                <w:rFonts w:ascii="Times New Roman" w:cs="Times New Roman" w:eastAsia="Times New Roman" w:hAnsi="Times New Roman"/>
                <w:sz w:val="20"/>
                <w:szCs w:val="20"/>
                <w:color w:val="0000FF"/>
              </w:rPr>
              <w:t>10,000</w:t>
            </w:r>
          </w:p>
        </w:tc>
        <w:tc>
          <w:tcPr>
            <w:tcW w:w="720" w:type="dxa"/>
            <w:vAlign w:val="bottom"/>
          </w:tcPr>
          <w:p>
            <w:pPr>
              <w:spacing w:after="0"/>
              <w:rPr>
                <w:sz w:val="24"/>
                <w:szCs w:val="24"/>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jc w:val="right"/>
              <w:ind w:right="265"/>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w w:val="95"/>
              </w:rPr>
              <w:t>Number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w w:val="94"/>
              </w:rPr>
              <w:t>10,000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Maxpro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12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5"/>
                <w:szCs w:val="15"/>
                <w:color w:val="0000FF"/>
              </w:rPr>
              <w:t>04/28/2023</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5"/>
                <w:szCs w:val="15"/>
                <w:color w:val="0000FF"/>
              </w:rPr>
              <w:t>03/29/2028</w:t>
            </w:r>
          </w:p>
        </w:tc>
        <w:tc>
          <w:tcPr>
            <w:tcW w:w="1740" w:type="dxa"/>
            <w:vAlign w:val="bottom"/>
            <w:vMerge w:val="continue"/>
          </w:tcPr>
          <w:p>
            <w:pPr>
              <w:spacing w:after="0"/>
              <w:rPr>
                <w:sz w:val="10"/>
                <w:szCs w:val="10"/>
                <w:color w:val="auto"/>
              </w:rPr>
            </w:pPr>
          </w:p>
        </w:tc>
        <w:tc>
          <w:tcPr>
            <w:tcW w:w="1800" w:type="dxa"/>
            <w:vAlign w:val="bottom"/>
            <w:gridSpan w:val="4"/>
            <w:vMerge w:val="restart"/>
          </w:tcPr>
          <w:p>
            <w:pPr>
              <w:jc w:val="right"/>
              <w:ind w:right="125"/>
              <w:spacing w:after="0" w:line="240" w:lineRule="exact"/>
              <w:rPr>
                <w:sz w:val="20"/>
                <w:szCs w:val="20"/>
                <w:color w:val="auto"/>
              </w:rPr>
            </w:pPr>
            <w:r>
              <w:rPr>
                <w:rFonts w:ascii="Times New Roman" w:cs="Times New Roman" w:eastAsia="Times New Roman" w:hAnsi="Times New Roman"/>
                <w:sz w:val="20"/>
                <w:szCs w:val="20"/>
                <w:color w:val="0000FF"/>
              </w:rPr>
              <w:t>3,823</w:t>
            </w:r>
            <w:r>
              <w:rPr>
                <w:rFonts w:ascii="Times New Roman" w:cs="Times New Roman" w:eastAsia="Times New Roman" w:hAnsi="Times New Roman"/>
                <w:sz w:val="25"/>
                <w:szCs w:val="25"/>
                <w:color w:val="008000"/>
                <w:vertAlign w:val="superscript"/>
              </w:rPr>
              <w:t>(4)</w:t>
            </w:r>
            <w:r>
              <w:rPr>
                <w:rFonts w:ascii="Times New Roman" w:cs="Times New Roman" w:eastAsia="Times New Roman" w:hAnsi="Times New Roman"/>
                <w:sz w:val="20"/>
                <w:szCs w:val="20"/>
                <w:color w:val="0000FF"/>
              </w:rPr>
              <w:t xml:space="preserve">     1,150</w:t>
            </w:r>
            <w:r>
              <w:rPr>
                <w:rFonts w:ascii="Times New Roman" w:cs="Times New Roman" w:eastAsia="Times New Roman" w:hAnsi="Times New Roman"/>
                <w:sz w:val="25"/>
                <w:szCs w:val="25"/>
                <w:color w:val="008000"/>
                <w:vertAlign w:val="superscript"/>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Investment 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800" w:type="dxa"/>
            <w:vAlign w:val="bottom"/>
            <w:gridSpan w:val="4"/>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Ltd.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member of the Board of Directors of Maxpro Investment Co., Ltd. and is co-founder and managing director of Maxpro Ventures Ltd. The reporting person disclaims beneficial ownership of theses securities except to the extent of his pecuniary interest therein.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will vest with respect to 5,000 shares on each of June 15, 2026 and September 15,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Class A Ordinary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adjusted exercise price of $1,150.00 per full share, as each warrant is exercisable for 0.01 Class A Ordinary Share at a price of $11.50 per warrant.</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40"/>
        <w:spacing w:after="0" w:line="259" w:lineRule="auto"/>
        <w:rPr>
          <w:sz w:val="20"/>
          <w:szCs w:val="20"/>
          <w:color w:val="auto"/>
        </w:rPr>
      </w:pPr>
      <w:r>
        <w:rPr>
          <w:rFonts w:ascii="Times New Roman" w:cs="Times New Roman" w:eastAsia="Times New Roman" w:hAnsi="Times New Roman"/>
          <w:sz w:val="15"/>
          <w:szCs w:val="15"/>
          <w:color w:val="008000"/>
        </w:rPr>
        <w:t>This Amendment to the Initial Statement of Beneficial Ownership is being filed to amend the Initial Statement of Beneficial Ownership, and reflect the vesting of certain restricted stock units that occurred prior to the filing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Alison M. Pear,</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8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5232" TargetMode="External"/><Relationship Id="rId11"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2026-04-14T18:52:58Z</dcterms:created>
  <dcterms:modified xsi:type="dcterms:W3CDTF">2026-04-14T18:52:58Z</dcterms:modified>
</cp:coreProperties>
</file>