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176530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165735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Apollomics Inc.</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-476885</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3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-489585</wp:posOffset>
            </wp:positionH>
            <wp:positionV relativeFrom="paragraph">
              <wp:posOffset>2362200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214630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On April 27, 2026, Apollomics Inc. issued a press release titled “Apollomics Reports Full Year 2025 Financial Results and Highlights Clinical Updates and Business Progress.” A copy of this press release is furnished as Exhibit 99.1 herewith.</w:t>
      </w:r>
    </w:p>
    <w:p>
      <w:pPr>
        <w:spacing w:after="0" w:line="16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press release set forth in Exhibit 99.1 is being furnished with the Commission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480" w:type="dxa"/>
            <w:vAlign w:val="bottom"/>
            <w:tcBorders>
              <w:bottom w:val="single" w:sz="8" w:color="auto"/>
            </w:tcBorders>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230"/>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9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27, 2026, entitled “Apollomics Reports Full Year 2025 Financial Results and Provides Clinical Updates and</w:t>
            </w:r>
          </w:p>
        </w:tc>
        <w:tc>
          <w:tcPr>
            <w:tcW w:w="120" w:type="dxa"/>
            <w:vAlign w:val="bottom"/>
            <w:gridSpan w:val="2"/>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Business Progress”</w:t>
            </w:r>
          </w:p>
        </w:tc>
      </w:tr>
      <w:tr>
        <w:trPr>
          <w:trHeight w:val="2134"/>
        </w:trPr>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7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Apollomics Inc.</w:t>
      </w:r>
    </w:p>
    <w:p>
      <w:pPr>
        <w:spacing w:after="0" w:line="200" w:lineRule="exact"/>
        <w:rPr>
          <w:sz w:val="20"/>
          <w:szCs w:val="20"/>
          <w:color w:val="auto"/>
        </w:rPr>
      </w:pPr>
    </w:p>
    <w:p>
      <w:pPr>
        <w:spacing w:after="0" w:line="239" w:lineRule="exact"/>
        <w:rPr>
          <w:sz w:val="20"/>
          <w:szCs w:val="20"/>
          <w:color w:val="auto"/>
        </w:rPr>
      </w:pPr>
    </w:p>
    <w:p>
      <w:pPr>
        <w:spacing w:after="0"/>
        <w:tabs>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 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Peter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18415</wp:posOffset>
            </wp:positionV>
            <wp:extent cx="3000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Peter Lin</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99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ind w:right="120"/>
        <w:spacing w:after="0" w:line="278" w:lineRule="auto"/>
        <w:rPr>
          <w:sz w:val="20"/>
          <w:szCs w:val="20"/>
          <w:color w:val="auto"/>
        </w:rPr>
      </w:pPr>
      <w:r>
        <w:rPr>
          <w:rFonts w:ascii="Arial" w:cs="Arial" w:eastAsia="Arial" w:hAnsi="Arial"/>
          <w:sz w:val="25"/>
          <w:szCs w:val="25"/>
          <w:b w:val="1"/>
          <w:bCs w:val="1"/>
          <w:color w:val="auto"/>
        </w:rPr>
        <w:t>Apollomics Reports Full Year 2025 Financial Results and Provides Clinical Updates and Business Progress</w:t>
      </w:r>
    </w:p>
    <w:p>
      <w:pPr>
        <w:spacing w:after="0" w:line="172" w:lineRule="exact"/>
        <w:rPr>
          <w:sz w:val="20"/>
          <w:szCs w:val="20"/>
          <w:color w:val="auto"/>
        </w:rPr>
      </w:pPr>
    </w:p>
    <w:p>
      <w:pPr>
        <w:ind w:left="620" w:right="780" w:hanging="358"/>
        <w:spacing w:after="0" w:line="256" w:lineRule="auto"/>
        <w:tabs>
          <w:tab w:leader="none" w:pos="6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2"/>
          <w:szCs w:val="22"/>
          <w:i w:val="1"/>
          <w:iCs w:val="1"/>
          <w:color w:val="auto"/>
        </w:rPr>
        <w:t>Phase 2 studies ongoing to advance global development of vebreltinib, a highly potent, de-risked and differentiated c-MET Inhibitor with best-in-class and first-in-class potential.</w:t>
      </w:r>
    </w:p>
    <w:p>
      <w:pPr>
        <w:ind w:left="620" w:right="580" w:hanging="358"/>
        <w:spacing w:after="0" w:line="256" w:lineRule="auto"/>
        <w:tabs>
          <w:tab w:leader="none" w:pos="6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2"/>
          <w:szCs w:val="22"/>
          <w:i w:val="1"/>
          <w:iCs w:val="1"/>
          <w:color w:val="auto"/>
        </w:rPr>
        <w:t>To date, more than 600 patients and 170 healthy volunteers have been dosed with vebreltinib in clinical trials.</w:t>
      </w:r>
    </w:p>
    <w:p>
      <w:pPr>
        <w:ind w:left="620" w:right="260" w:hanging="358"/>
        <w:spacing w:after="0" w:line="259" w:lineRule="auto"/>
        <w:tabs>
          <w:tab w:leader="none" w:pos="6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2"/>
          <w:szCs w:val="22"/>
          <w:i w:val="1"/>
          <w:iCs w:val="1"/>
          <w:color w:val="auto"/>
        </w:rPr>
        <w:t>Phase 2/3 IND submission for development of vebreltinib in combination with an EGFR inhibitor in the U.S. and select Asian countries for the treatment of NSCLC.</w:t>
      </w:r>
    </w:p>
    <w:p>
      <w:pPr>
        <w:spacing w:after="0" w:line="269" w:lineRule="exact"/>
        <w:rPr>
          <w:sz w:val="20"/>
          <w:szCs w:val="20"/>
          <w:color w:val="auto"/>
        </w:rPr>
      </w:pPr>
    </w:p>
    <w:p>
      <w:pPr>
        <w:jc w:val="both"/>
        <w:ind w:right="580"/>
        <w:spacing w:after="0" w:line="241" w:lineRule="auto"/>
        <w:rPr>
          <w:sz w:val="20"/>
          <w:szCs w:val="20"/>
          <w:color w:val="auto"/>
        </w:rPr>
      </w:pPr>
      <w:r>
        <w:rPr>
          <w:rFonts w:ascii="Arial" w:cs="Arial" w:eastAsia="Arial" w:hAnsi="Arial"/>
          <w:sz w:val="20"/>
          <w:szCs w:val="20"/>
          <w:color w:val="auto"/>
        </w:rPr>
        <w:t>FOSTER CITY, CALIF. – April 27, 2026 – Apollomics Inc. (Nasdaq: APLM), a clinical-stage biopharmaceutical company advancing innovative oncology therapies to transform the treatment landscape for patients with few or no options, today announced financial results for the full year ended December 31, 2025.</w:t>
      </w:r>
    </w:p>
    <w:p>
      <w:pPr>
        <w:spacing w:after="0" w:line="171"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color w:val="auto"/>
        </w:rPr>
        <w:t>“Our primary focus is to advance the global development of vebreltinib for the treatment of patients with c-MET alterations across different tumors,” said Hung-wen (Howard) Chen, Chief Executive Officer of Apollomics. “Based on guidance from the U.S. Food and Drug Administration (FDA), we anticipate submitting an Investigational New Drug Application for accelerated approval of vebreltinib for second-line treatment for non-small cell lung cancer (NSCLC) patients with c-MET amplification in the first half of 2027.”</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Pipeline Update</w:t>
      </w:r>
    </w:p>
    <w:p>
      <w:pPr>
        <w:spacing w:after="0" w:line="126" w:lineRule="exact"/>
        <w:rPr>
          <w:sz w:val="20"/>
          <w:szCs w:val="20"/>
          <w:color w:val="auto"/>
        </w:rPr>
      </w:pPr>
    </w:p>
    <w:p>
      <w:pPr>
        <w:ind w:left="720" w:right="360" w:hanging="354"/>
        <w:spacing w:after="0" w:line="255"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Vebreltinib (APL-101) – a highly specific, CNS-penetrant c-MET inhibitor for treating NSCLC, brain tumors, and other solid tumors with MET dysregulation. It also shows significant potential in combination regimens, particularly with EGFR inhibitors.</w:t>
      </w:r>
    </w:p>
    <w:p>
      <w:pPr>
        <w:spacing w:after="0" w:line="72" w:lineRule="exact"/>
        <w:rPr>
          <w:sz w:val="20"/>
          <w:szCs w:val="20"/>
          <w:color w:val="auto"/>
        </w:rPr>
      </w:pPr>
    </w:p>
    <w:p>
      <w:pPr>
        <w:ind w:left="1520" w:right="240" w:hanging="510"/>
        <w:spacing w:after="0" w:line="256" w:lineRule="auto"/>
        <w:tabs>
          <w:tab w:leader="none" w:pos="15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China rights of APL-101 were out-licensed to Apollomics’ partner, Beijing Avistone Biotechnology Co., Ltd., while Apollomics retains the global (ex-China) rights.</w:t>
      </w:r>
    </w:p>
    <w:p>
      <w:pPr>
        <w:spacing w:after="0" w:line="48" w:lineRule="exact"/>
        <w:rPr>
          <w:rFonts w:ascii="Times New Roman" w:cs="Times New Roman" w:eastAsia="Times New Roman" w:hAnsi="Times New Roman"/>
          <w:sz w:val="20"/>
          <w:szCs w:val="20"/>
          <w:color w:val="auto"/>
        </w:rPr>
      </w:pPr>
    </w:p>
    <w:p>
      <w:pPr>
        <w:ind w:left="1520" w:hanging="510"/>
        <w:spacing w:after="0" w:line="241" w:lineRule="auto"/>
        <w:tabs>
          <w:tab w:leader="none" w:pos="15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Vebreltinib has been approved by China’s National Medical Products Administration (NMPA) for three distinct indications: METex14 skipping NSCLC, MET-amplified NSCLC, and PTPRZ1-MET fusion high-grade gliomas. Notably, it is the first c-MET inhibitor approved for the latter two conditions.</w:t>
      </w:r>
    </w:p>
    <w:p>
      <w:pPr>
        <w:spacing w:after="0" w:line="62" w:lineRule="exact"/>
        <w:rPr>
          <w:rFonts w:ascii="Times New Roman" w:cs="Times New Roman" w:eastAsia="Times New Roman" w:hAnsi="Times New Roman"/>
          <w:sz w:val="20"/>
          <w:szCs w:val="20"/>
          <w:color w:val="auto"/>
        </w:rPr>
      </w:pPr>
    </w:p>
    <w:p>
      <w:pPr>
        <w:ind w:left="1520" w:right="260" w:hanging="510"/>
        <w:spacing w:after="0" w:line="236" w:lineRule="auto"/>
        <w:tabs>
          <w:tab w:leader="none" w:pos="15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is advancing global development of vebreltinib, prioritizing NSCLC with c-MET amplification while expanding its application across diverse MET alterations and tumor types. Simultaneously, the Company is investigating strategic combinations with other tumor inhibitors to fully maximize vebreltinib’s therapeutic potential.</w:t>
      </w:r>
    </w:p>
    <w:p>
      <w:pPr>
        <w:spacing w:after="0" w:line="66" w:lineRule="exact"/>
        <w:rPr>
          <w:rFonts w:ascii="Times New Roman" w:cs="Times New Roman" w:eastAsia="Times New Roman" w:hAnsi="Times New Roman"/>
          <w:sz w:val="20"/>
          <w:szCs w:val="20"/>
          <w:color w:val="auto"/>
        </w:rPr>
      </w:pPr>
    </w:p>
    <w:p>
      <w:pPr>
        <w:ind w:left="1520" w:right="300" w:hanging="510"/>
        <w:spacing w:after="0" w:line="232" w:lineRule="auto"/>
        <w:tabs>
          <w:tab w:leader="none" w:pos="15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Phase 2 component of the SPARTA clinical study, APL-101-01, is an ongoing open-label multi-cohort study for evaluation of efficacy and safety of vebreltinib for the treatment of a number of solid tumors, including NSCLC with MET Exon 14 skipping, NSCLC with c-MET amplification, brain tumors with MET fusion or MET amplification and other solid tumors with MET amplification or MET fusion. Apollomics is currently conducting the ongoing Phase 2 portion of the global SPARTA study at approximately 25 study sites in over 10 countries in North America, Europe and Asia-Pacific. As of April 2026, over 282 subjects have enrolled in the SPARTA study.</w:t>
      </w:r>
    </w:p>
    <w:p>
      <w:pPr>
        <w:spacing w:after="0" w:line="62" w:lineRule="exact"/>
        <w:rPr>
          <w:rFonts w:ascii="Times New Roman" w:cs="Times New Roman" w:eastAsia="Times New Roman" w:hAnsi="Times New Roman"/>
          <w:sz w:val="20"/>
          <w:szCs w:val="20"/>
          <w:color w:val="auto"/>
        </w:rPr>
      </w:pPr>
    </w:p>
    <w:p>
      <w:pPr>
        <w:ind w:left="1520" w:right="660" w:hanging="510"/>
        <w:spacing w:after="0" w:line="256" w:lineRule="auto"/>
        <w:tabs>
          <w:tab w:leader="none" w:pos="15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Interim efficacy and safety data from the global multi-cohort Phase 2 SPARTA trial and from the multi-cohort Phase 2 KUNPENG trial demonstrated that vebreltinib appeared efficacious</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566420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440" w:right="399" w:bottom="1440" w:gutter="0" w:footer="0" w:header="0"/>
        </w:sectPr>
      </w:pPr>
    </w:p>
    <w:bookmarkStart w:id="4" w:name="page5"/>
    <w:bookmarkEnd w:id="4"/>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0"/>
          <w:szCs w:val="20"/>
          <w:color w:val="auto"/>
        </w:rPr>
        <w:t>in NSCLC patients with MET Exon14 skipping mutation with or without co-occurring MET amplification.</w:t>
      </w:r>
    </w:p>
    <w:p>
      <w:pPr>
        <w:spacing w:after="0" w:line="94" w:lineRule="exact"/>
        <w:rPr>
          <w:sz w:val="20"/>
          <w:szCs w:val="20"/>
          <w:color w:val="auto"/>
        </w:rPr>
      </w:pPr>
    </w:p>
    <w:p>
      <w:pPr>
        <w:ind w:left="1520" w:right="160" w:hanging="510"/>
        <w:spacing w:after="0" w:line="252" w:lineRule="auto"/>
        <w:tabs>
          <w:tab w:leader="none" w:pos="152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 March 2025, the Company announced a development and commercialization agreement for vebreltinib with LaunXP International Co., Ltd., an affiliate of LaunXP Biomedical Co., Ltd (Collectively, “LaunXP”). LaunXP will receive exclusive development and commercialization rights for vebreltinib in combination with an EGFR inhibitor in Asia (excluding mainland China, Hong Kong and Macau) for the treatment of NSCLC.</w:t>
      </w:r>
    </w:p>
    <w:p>
      <w:pPr>
        <w:spacing w:after="0" w:line="53" w:lineRule="exact"/>
        <w:rPr>
          <w:rFonts w:ascii="Times New Roman" w:cs="Times New Roman" w:eastAsia="Times New Roman" w:hAnsi="Times New Roman"/>
          <w:sz w:val="19"/>
          <w:szCs w:val="19"/>
          <w:color w:val="auto"/>
        </w:rPr>
      </w:pPr>
    </w:p>
    <w:p>
      <w:pPr>
        <w:ind w:left="1520" w:right="420" w:hanging="510"/>
        <w:spacing w:after="0" w:line="241" w:lineRule="auto"/>
        <w:tabs>
          <w:tab w:leader="none" w:pos="152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Apollomics is committed to expanding its clinical pipeline through ongoing collaborations with global partners. These efforts will focus on investigating new combination therapies that maximize vebreltinib’s efficacy, ensuring the asset’s potential is fully realized across diverse patient populations.</w:t>
      </w:r>
    </w:p>
    <w:p>
      <w:pPr>
        <w:spacing w:after="0" w:line="295"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Immuno-Oncology Product Candidates</w:t>
      </w:r>
    </w:p>
    <w:p>
      <w:pPr>
        <w:spacing w:after="0" w:line="88" w:lineRule="exact"/>
        <w:rPr>
          <w:rFonts w:ascii="Times New Roman" w:cs="Times New Roman" w:eastAsia="Times New Roman" w:hAnsi="Times New Roman"/>
          <w:sz w:val="20"/>
          <w:szCs w:val="20"/>
          <w:color w:val="auto"/>
        </w:rPr>
      </w:pPr>
    </w:p>
    <w:p>
      <w:pPr>
        <w:ind w:left="1500" w:right="500" w:hanging="490"/>
        <w:spacing w:after="0" w:line="235"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APL-501 (Anti-PD-1 antibody)</w:t>
      </w:r>
      <w:r>
        <w:rPr>
          <w:rFonts w:ascii="Arial" w:cs="Arial" w:eastAsia="Arial" w:hAnsi="Arial"/>
          <w:sz w:val="20"/>
          <w:szCs w:val="20"/>
          <w:color w:val="auto"/>
        </w:rPr>
        <w:t>: APL-501 is an investigational, humanized, IgG4 monoclonal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that selectively binds to PD-1 on T lymphocytes and other immune cells. The China rights of APL-501 were out-licensed to Apollomics’ partner, Edding Genor Group Holdings Ltd., while Apollomics retains the global (ex-China) rights. Data from a Phase 1 study in advanced or relapsed/refractory solid tumors in Australia are currently being analyzed.</w:t>
      </w:r>
    </w:p>
    <w:p>
      <w:pPr>
        <w:spacing w:after="0" w:line="61" w:lineRule="exact"/>
        <w:rPr>
          <w:rFonts w:ascii="Times New Roman" w:cs="Times New Roman" w:eastAsia="Times New Roman" w:hAnsi="Times New Roman"/>
          <w:sz w:val="20"/>
          <w:szCs w:val="20"/>
          <w:color w:val="auto"/>
        </w:rPr>
      </w:pPr>
    </w:p>
    <w:p>
      <w:pPr>
        <w:ind w:left="1500" w:right="520" w:hanging="490"/>
        <w:spacing w:after="0" w:line="237"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APL-502 (benmelstobart, anti-PD-L1 antibody)</w:t>
      </w:r>
      <w:r>
        <w:rPr>
          <w:rFonts w:ascii="Arial" w:cs="Arial" w:eastAsia="Arial" w:hAnsi="Arial"/>
          <w:sz w:val="20"/>
          <w:szCs w:val="20"/>
          <w:color w:val="auto"/>
        </w:rPr>
        <w:t>: APL-502 is a novel IgG1 humanized monoclonal</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against PD-L1. The China rights of APL-502 were out-licensed to Apollomics’ partner, Chia Tai-Tianqing Pharmaceutical Holdings Co., Ltd. (CTTQ), while Apollomics retains the global (ex-China) rights.</w:t>
      </w:r>
    </w:p>
    <w:p>
      <w:pPr>
        <w:spacing w:after="0" w:line="64" w:lineRule="exact"/>
        <w:rPr>
          <w:rFonts w:ascii="Times New Roman" w:cs="Times New Roman" w:eastAsia="Times New Roman" w:hAnsi="Times New Roman"/>
          <w:sz w:val="20"/>
          <w:szCs w:val="20"/>
          <w:color w:val="auto"/>
        </w:rPr>
      </w:pPr>
    </w:p>
    <w:p>
      <w:pPr>
        <w:ind w:left="1500" w:right="460" w:hanging="490"/>
        <w:spacing w:after="0" w:line="234"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APL-502 (also known as TQB-2450 in China) has been approved by China’s NMPA for three distinct indications: extensive-stage small cell lung cancer, recurrent/metastatic endometrial cancer, and late-stage unresectable or metastatic renal cell carcinoma. Ongoing clinical trials include the following tumor types: NSCLC, esophageal cancer, ovarian cancer, hepatocellular carcinoma, cholangiocarcinoma, primary mediastinal large B cell lymphoma, and alveolar soft part sarcoma.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Highlights</w:t>
      </w:r>
    </w:p>
    <w:p>
      <w:pPr>
        <w:spacing w:after="0" w:line="94" w:lineRule="exact"/>
        <w:rPr>
          <w:sz w:val="20"/>
          <w:szCs w:val="20"/>
          <w:color w:val="auto"/>
        </w:rPr>
      </w:pPr>
    </w:p>
    <w:p>
      <w:pPr>
        <w:ind w:left="740" w:right="100" w:hanging="374"/>
        <w:spacing w:after="0" w:line="242" w:lineRule="auto"/>
        <w:tabs>
          <w:tab w:leader="none" w:pos="7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New senior management team</w:t>
      </w:r>
      <w:r>
        <w:rPr>
          <w:rFonts w:ascii="Arial" w:cs="Arial" w:eastAsia="Arial" w:hAnsi="Arial"/>
          <w:sz w:val="20"/>
          <w:szCs w:val="20"/>
          <w:color w:val="auto"/>
        </w:rPr>
        <w:t>: In September 2025, Apollomics appointed a new management team, led by Hung-wen (Howard) Chen, Chief Executive Officer, and Yi-kuei (Alex) Chen, Chief Operating Officer, and Peter Lin, Chief Financial Officer.</w:t>
      </w:r>
    </w:p>
    <w:p>
      <w:pPr>
        <w:spacing w:after="0" w:line="59" w:lineRule="exact"/>
        <w:rPr>
          <w:rFonts w:ascii="Times New Roman" w:cs="Times New Roman" w:eastAsia="Times New Roman" w:hAnsi="Times New Roman"/>
          <w:sz w:val="20"/>
          <w:szCs w:val="20"/>
          <w:color w:val="auto"/>
        </w:rPr>
      </w:pPr>
    </w:p>
    <w:p>
      <w:pPr>
        <w:ind w:left="740" w:hanging="374"/>
        <w:spacing w:after="0" w:line="232" w:lineRule="auto"/>
        <w:tabs>
          <w:tab w:leader="none" w:pos="7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Positive Turnaround Developments: </w:t>
      </w:r>
      <w:r>
        <w:rPr>
          <w:rFonts w:ascii="Arial" w:cs="Arial" w:eastAsia="Arial" w:hAnsi="Arial"/>
          <w:sz w:val="20"/>
          <w:szCs w:val="20"/>
          <w:color w:val="auto"/>
        </w:rPr>
        <w:t>With the appointment of a new board of directors and management team,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has made meaningful progress executing its strategic turnaround plan. In 2025, the Company successfully implemented significant cost reduction initiatives to streamline operations and enhance financial discipline. In parallel, Apollomics has strengthened its financial and legal position through the resolution of legacy matters, including the settlement of the Cayman litigation in November 2025, and the clearance of substantial outstanding legal and clinical program-related obligations. Furthermore, Apollomics has a renewed commitment to advancing its pipeline, including the relaunch of a previously paused clinical program for vebreltinib.</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Full Year 2025 Financial Results</w:t>
      </w:r>
    </w:p>
    <w:p>
      <w:pPr>
        <w:spacing w:after="0" w:line="121" w:lineRule="exact"/>
        <w:rPr>
          <w:sz w:val="20"/>
          <w:szCs w:val="20"/>
          <w:color w:val="auto"/>
        </w:rPr>
      </w:pPr>
    </w:p>
    <w:p>
      <w:pPr>
        <w:ind w:left="740" w:right="40" w:hanging="374"/>
        <w:spacing w:after="0" w:line="241" w:lineRule="auto"/>
        <w:tabs>
          <w:tab w:leader="none" w:pos="7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bank deposits and money market funds as of December 31, 2025, were approximately $3.3 million, compared with $9.8 million as of December 31, 2024. In September 2025, the Company raised $4.1 million in a private investment in public equity (PIPE) financing, before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558165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5" w:name="page6"/>
    <w:bookmarkEnd w:id="5"/>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color w:val="auto"/>
        </w:rPr>
        <w:t>transaction expenses.</w:t>
      </w:r>
    </w:p>
    <w:p>
      <w:pPr>
        <w:spacing w:after="0" w:line="94" w:lineRule="exact"/>
        <w:rPr>
          <w:sz w:val="20"/>
          <w:szCs w:val="20"/>
          <w:color w:val="auto"/>
        </w:rPr>
      </w:pPr>
    </w:p>
    <w:p>
      <w:pPr>
        <w:ind w:left="740" w:right="140" w:hanging="374"/>
        <w:spacing w:after="0" w:line="241" w:lineRule="auto"/>
        <w:tabs>
          <w:tab w:leader="none" w:pos="7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Revenue for the full year 2025 was $8.5 million compared to $0 for full year 2024. Revenue in 2025 is a result of the upfront payment related to the LaunXP licensing agreement for the development and commercialization in Asia (excluding mainland China, Hong Kong and Macau) of vebreltinib.</w:t>
      </w:r>
    </w:p>
    <w:p>
      <w:pPr>
        <w:spacing w:after="0" w:line="62" w:lineRule="exact"/>
        <w:rPr>
          <w:rFonts w:ascii="Times New Roman" w:cs="Times New Roman" w:eastAsia="Times New Roman" w:hAnsi="Times New Roman"/>
          <w:sz w:val="20"/>
          <w:szCs w:val="20"/>
          <w:color w:val="auto"/>
        </w:rPr>
      </w:pPr>
    </w:p>
    <w:p>
      <w:pPr>
        <w:ind w:left="740" w:right="160" w:hanging="374"/>
        <w:spacing w:after="0" w:line="256" w:lineRule="auto"/>
        <w:tabs>
          <w:tab w:leader="none" w:pos="7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Research and development expenses were approximately $5.5 million for full year 2025, compared to approximately $24.6 million for full year 2024.</w:t>
      </w:r>
    </w:p>
    <w:p>
      <w:pPr>
        <w:spacing w:after="0" w:line="48" w:lineRule="exact"/>
        <w:rPr>
          <w:rFonts w:ascii="Times New Roman" w:cs="Times New Roman" w:eastAsia="Times New Roman" w:hAnsi="Times New Roman"/>
          <w:sz w:val="20"/>
          <w:szCs w:val="20"/>
          <w:color w:val="auto"/>
        </w:rPr>
      </w:pPr>
    </w:p>
    <w:p>
      <w:pPr>
        <w:ind w:left="740" w:right="160" w:hanging="374"/>
        <w:spacing w:after="0" w:line="256" w:lineRule="auto"/>
        <w:tabs>
          <w:tab w:leader="none" w:pos="7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General and administrative expenses were approximately $12.4 million forfull year 2025, compared to approximately $17.8 million for full year 2024.</w:t>
      </w:r>
    </w:p>
    <w:p>
      <w:pPr>
        <w:spacing w:after="0" w:line="48" w:lineRule="exact"/>
        <w:rPr>
          <w:rFonts w:ascii="Times New Roman" w:cs="Times New Roman" w:eastAsia="Times New Roman" w:hAnsi="Times New Roman"/>
          <w:sz w:val="20"/>
          <w:szCs w:val="20"/>
          <w:color w:val="auto"/>
        </w:rPr>
      </w:pPr>
    </w:p>
    <w:p>
      <w:pPr>
        <w:ind w:left="740" w:right="340" w:hanging="374"/>
        <w:spacing w:after="0" w:line="256" w:lineRule="auto"/>
        <w:tabs>
          <w:tab w:leader="none" w:pos="7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for the full year 2025 was $(10.9) million, or $(7.57) per diluted share, compared with a net loss of $(53.9) million, or $(52.80) per diluted share, for the full year 2024.</w:t>
      </w:r>
    </w:p>
    <w:p>
      <w:pPr>
        <w:spacing w:after="0" w:line="48" w:lineRule="exact"/>
        <w:rPr>
          <w:rFonts w:ascii="Times New Roman" w:cs="Times New Roman" w:eastAsia="Times New Roman" w:hAnsi="Times New Roman"/>
          <w:sz w:val="20"/>
          <w:szCs w:val="20"/>
          <w:color w:val="auto"/>
        </w:rPr>
      </w:pPr>
    </w:p>
    <w:p>
      <w:pPr>
        <w:ind w:left="740" w:right="80" w:hanging="374"/>
        <w:spacing w:after="0" w:line="241" w:lineRule="auto"/>
        <w:tabs>
          <w:tab w:leader="none" w:pos="7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As part of its strategic turnaround plan, Apollomics significantly reduced costs and expenses in 2025 compared to the previous year. For the full year 2025, operating expenses were $19.8 million compared to $55.7 million for the prior year, representing a 64% decrease year-over-year.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About Apollomics Inc.</w:t>
      </w:r>
    </w:p>
    <w:p>
      <w:pPr>
        <w:spacing w:after="0" w:line="108"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lead program is vebreltinib (APL-101), a potent, selective c-MET inhibitor for the treatment of non-small cell lung cancer and other advanced tumors with c-MET alterations, which is currently in a Phase 2 multicohort clinical trial in the United States and other countries.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http://www.apollomics.com.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Cautionary Statement Regarding Forward-Looking Statements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This press release includes statements that constitute “forward-looking statements” within the meaning of the federal securities laws, including Section 27A of the Securities Act of 1933, as amended (the “Securities Act”), and Section 21E of the Securities Exchange Act of 1934, as amended (the “Exchange Act”). All statements, other than statements of present or historical fact included in this press release, regarding Apollomics’ strategy, prospects, plans, objectives and anticipated outcomes from the development and commercialization of vebreltinib are forward-looking statements. When used in this press release, the words “could,” “should,” “will,” “may,” “believe,” “anticipate,” “intend,” “estimate,” “expect,” “seek,”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In addition, Apollomics cautions you that the forward-looking statements contained in this press release are subject to unknown risks, uncertainties and other factors, including those risks and uncertainties discussed in the Annual Report on Form 20-F for the year ended December 31, 2025, filed by Apollomics Inc. with the U.S. Securities and Exchange Commission (“SEC”) under the heading “Risk Factors” and the other documents filed, or to be filed, by Apollomics with the SEC. Additional information concerning these and other factors that may impact the operations and projections discussed herein can be found in the reports that Apollomics has filed and will file from time to time with the SEC. Forward-looking statements speak only as of the date made by Apollomics. Apollomics undertakes no obligation to update publicly any of its forward-looking statements to reflect actual results, new information or future events, changes in assumptions or changes in other factors affecting forward-looking statements,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558165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440" w:right="39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Investor 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Peter Lin, Chief Financial Officer</w:t>
      </w:r>
    </w:p>
    <w:p>
      <w:pPr>
        <w:spacing w:after="0" w:line="229" w:lineRule="auto"/>
        <w:rPr>
          <w:sz w:val="20"/>
          <w:szCs w:val="20"/>
          <w:color w:val="auto"/>
        </w:rPr>
      </w:pPr>
      <w:r>
        <w:rPr>
          <w:rFonts w:ascii="Arial" w:cs="Arial" w:eastAsia="Arial" w:hAnsi="Arial"/>
          <w:sz w:val="20"/>
          <w:szCs w:val="20"/>
          <w:color w:val="auto"/>
        </w:rPr>
        <w:t>Apollomics, Inc.</w:t>
      </w:r>
    </w:p>
    <w:p>
      <w:pPr>
        <w:spacing w:after="0" w:line="226" w:lineRule="auto"/>
        <w:rPr>
          <w:sz w:val="20"/>
          <w:szCs w:val="20"/>
          <w:color w:val="auto"/>
        </w:rPr>
      </w:pPr>
      <w:r>
        <w:rPr>
          <w:rFonts w:ascii="Arial" w:cs="Arial" w:eastAsia="Arial" w:hAnsi="Arial"/>
          <w:sz w:val="20"/>
          <w:szCs w:val="20"/>
          <w:color w:val="auto"/>
        </w:rPr>
        <w:t>1-650-209-4055</w:t>
      </w:r>
    </w:p>
    <w:p>
      <w:pPr>
        <w:spacing w:after="0"/>
        <w:rPr>
          <w:sz w:val="20"/>
          <w:szCs w:val="20"/>
          <w:color w:val="auto"/>
        </w:rPr>
      </w:pPr>
      <w:r>
        <w:rPr>
          <w:rFonts w:ascii="Arial" w:cs="Arial" w:eastAsia="Arial" w:hAnsi="Arial"/>
          <w:sz w:val="20"/>
          <w:szCs w:val="20"/>
          <w:color w:val="auto"/>
        </w:rPr>
        <w:t>peter.lin@apollomicsinc.com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Peter Vozzo</w:t>
      </w:r>
    </w:p>
    <w:p>
      <w:pPr>
        <w:spacing w:after="0" w:line="229" w:lineRule="auto"/>
        <w:rPr>
          <w:sz w:val="20"/>
          <w:szCs w:val="20"/>
          <w:color w:val="auto"/>
        </w:rPr>
      </w:pPr>
      <w:r>
        <w:rPr>
          <w:rFonts w:ascii="Arial" w:cs="Arial" w:eastAsia="Arial" w:hAnsi="Arial"/>
          <w:sz w:val="20"/>
          <w:szCs w:val="20"/>
          <w:color w:val="auto"/>
        </w:rPr>
        <w:t>ICR Healthcare</w:t>
      </w:r>
    </w:p>
    <w:p>
      <w:pPr>
        <w:spacing w:after="0" w:line="226" w:lineRule="auto"/>
        <w:rPr>
          <w:sz w:val="20"/>
          <w:szCs w:val="20"/>
          <w:color w:val="auto"/>
        </w:rPr>
      </w:pPr>
      <w:r>
        <w:rPr>
          <w:rFonts w:ascii="Arial" w:cs="Arial" w:eastAsia="Arial" w:hAnsi="Arial"/>
          <w:sz w:val="20"/>
          <w:szCs w:val="20"/>
          <w:u w:val="single" w:color="auto"/>
          <w:color w:val="4F2D7F"/>
        </w:rPr>
        <w:t>Peter.Vozzo@icrhealthcare.com</w:t>
      </w:r>
    </w:p>
    <w:p>
      <w:pPr>
        <w:spacing w:after="0"/>
        <w:rPr>
          <w:sz w:val="20"/>
          <w:szCs w:val="20"/>
          <w:color w:val="auto"/>
        </w:rPr>
      </w:pPr>
      <w:r>
        <w:rPr>
          <w:rFonts w:ascii="Arial" w:cs="Arial" w:eastAsia="Arial" w:hAnsi="Arial"/>
          <w:sz w:val="20"/>
          <w:szCs w:val="20"/>
          <w:color w:val="auto"/>
        </w:rPr>
        <w:t>1-443-213-0505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566420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7" w:name="page8"/>
    <w:bookmarkEnd w:id="7"/>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20"/>
          <w:szCs w:val="20"/>
          <w:b w:val="1"/>
          <w:bCs w:val="1"/>
          <w:color w:val="auto"/>
        </w:rPr>
        <w:t>APOLLOMICS INC.</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CONSOLIDATED STATEMENTS OF PROFIT OR LOSS AND OTHER COMPREHENSIVE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(All amounts in thousands of $, </w:t>
      </w:r>
      <w:r>
        <w:rPr>
          <w:rFonts w:ascii="Times New Roman" w:cs="Times New Roman" w:eastAsia="Times New Roman" w:hAnsi="Times New Roman"/>
          <w:sz w:val="17"/>
          <w:szCs w:val="17"/>
          <w:color w:val="auto"/>
        </w:rPr>
        <w:t>except for per share data</w:t>
      </w:r>
      <w:r>
        <w:rPr>
          <w:rFonts w:ascii="Times New Roman" w:cs="Times New Roman" w:eastAsia="Times New Roman" w:hAnsi="Times New Roman"/>
          <w:sz w:val="20"/>
          <w:szCs w:val="20"/>
          <w:color w:val="auto"/>
        </w:rPr>
        <w: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Revenue</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4"/>
            <w:shd w:val="clear" w:color="auto" w:fill="CFF0FC"/>
          </w:tcPr>
          <w:p>
            <w:pPr>
              <w:ind w:left="720"/>
              <w:spacing w:after="0"/>
              <w:rPr>
                <w:sz w:val="20"/>
                <w:szCs w:val="20"/>
                <w:color w:val="auto"/>
              </w:rPr>
            </w:pPr>
            <w:r>
              <w:rPr>
                <w:rFonts w:ascii="Times New Roman" w:cs="Times New Roman" w:eastAsia="Times New Roman" w:hAnsi="Times New Roman"/>
                <w:sz w:val="20"/>
                <w:szCs w:val="20"/>
                <w:color w:val="auto"/>
              </w:rPr>
              <w:t>—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Foreign exchange (losses) gains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Fair value change of financial assets at FVTPL</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Fair value change of financial liabilities at FVTPL</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1,597</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Fair value change of convertible preferred shares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(76,430)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(5,531)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(24,566)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(34,193)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(12,442)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(17,768)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(20,641)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Impairment of intangible assets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(1,717)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(13,000)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Finance costs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expense</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(140)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(46,003)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56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5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Loss before taxation</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(10,936)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(53,599)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(172,591)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Income tax expenses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(259)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56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0" w:type="dxa"/>
            <w:vAlign w:val="bottom"/>
            <w:vMerge w:val="continue"/>
          </w:tcPr>
          <w:p>
            <w:pPr>
              <w:spacing w:after="0"/>
              <w:rPr>
                <w:sz w:val="17"/>
                <w:szCs w:val="17"/>
                <w:color w:val="auto"/>
              </w:rPr>
            </w:pPr>
          </w:p>
        </w:tc>
        <w:tc>
          <w:tcPr>
            <w:tcW w:w="5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Loss and total comprehensive loss for the period, net of taxation,</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(10,939)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(53,858)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(172,601)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5680" w:type="dxa"/>
            <w:vAlign w:val="bottom"/>
          </w:tcPr>
          <w:p>
            <w:pPr>
              <w:ind w:left="140"/>
              <w:spacing w:after="0" w:line="212" w:lineRule="exact"/>
              <w:rPr>
                <w:sz w:val="20"/>
                <w:szCs w:val="20"/>
                <w:color w:val="auto"/>
              </w:rPr>
            </w:pPr>
            <w:r>
              <w:rPr>
                <w:rFonts w:ascii="Times New Roman" w:cs="Times New Roman" w:eastAsia="Times New Roman" w:hAnsi="Times New Roman"/>
                <w:sz w:val="20"/>
                <w:szCs w:val="20"/>
                <w:color w:val="auto"/>
              </w:rPr>
              <w:t>attributable to owners of the Company</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5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5680" w:type="dxa"/>
            <w:vAlign w:val="bottom"/>
            <w:tcBorders>
              <w:top w:val="single" w:sz="8" w:color="CFF0FC"/>
            </w:tcBorders>
            <w:shd w:val="clear" w:color="auto" w:fill="CFF0FC"/>
          </w:tcPr>
          <w:p>
            <w:pPr>
              <w:spacing w:after="0" w:line="190" w:lineRule="exact"/>
              <w:rPr>
                <w:sz w:val="20"/>
                <w:szCs w:val="20"/>
                <w:color w:val="auto"/>
              </w:rPr>
            </w:pPr>
            <w:r>
              <w:rPr>
                <w:rFonts w:ascii="Times New Roman" w:cs="Times New Roman" w:eastAsia="Times New Roman" w:hAnsi="Times New Roman"/>
                <w:sz w:val="20"/>
                <w:szCs w:val="20"/>
                <w:color w:val="auto"/>
              </w:rPr>
              <w:t>Loss per share</w:t>
            </w:r>
          </w:p>
        </w:tc>
        <w:tc>
          <w:tcPr>
            <w:tcW w:w="4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Basic and diluted ($)</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(231.99)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361"/>
              <w:spacing w:after="0"/>
              <w:rPr>
                <w:sz w:val="20"/>
                <w:szCs w:val="20"/>
                <w:color w:val="auto"/>
              </w:rPr>
            </w:pPr>
            <w:r>
              <w:rPr>
                <w:rFonts w:ascii="Arial" w:cs="Arial" w:eastAsia="Arial" w:hAnsi="Arial"/>
                <w:sz w:val="20"/>
                <w:szCs w:val="20"/>
                <w:color w:val="auto"/>
              </w:rPr>
              <w:t>5</w:t>
            </w: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61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8"/>
        </w:trPr>
        <w:tc>
          <w:tcPr>
            <w:tcW w:w="4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-2082165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-2082165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-2082165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-1782445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-1782445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-1782445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-1482090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-1464945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3731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APOLLOMICS INC.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FINANCIAL POSITION</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of $)</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Plant and equipment, net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927</w:t>
            </w:r>
          </w:p>
        </w:tc>
        <w:tc>
          <w:tcPr>
            <w:tcW w:w="100" w:type="dxa"/>
            <w:vAlign w:val="bottom"/>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Intangible assets, net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Rental deposits</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non-current assets</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2,831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Deposits, prepayments and deferred expenses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Accounts receivable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current assets</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6,051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10,267</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6,714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13,098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payables and accruals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Lease liabilities, current portion</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6,326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7,399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Net current (liabilities)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(275)</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2,868</w:t>
            </w:r>
          </w:p>
        </w:tc>
        <w:tc>
          <w:tcPr>
            <w:tcW w:w="100" w:type="dxa"/>
            <w:vAlign w:val="bottom"/>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Borders>
              <w:top w:val="single" w:sz="8" w:color="CFF0FC"/>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assets less current liabilities</w:t>
            </w:r>
          </w:p>
        </w:tc>
        <w:tc>
          <w:tcPr>
            <w:tcW w:w="7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388</w:t>
            </w: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5,699</w:t>
            </w:r>
          </w:p>
        </w:tc>
        <w:tc>
          <w:tcPr>
            <w:tcW w:w="100" w:type="dxa"/>
            <w:vAlign w:val="bottom"/>
            <w:tcBorders>
              <w:top w:val="single" w:sz="8" w:color="CFF0FC"/>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Lease liabilities, non-current portion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Warrant liabilities at fair value through profit and loss (“FVTPL”)</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non-current liabilities</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3,576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835</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Net (liabilities) assets</w:t>
            </w:r>
          </w:p>
        </w:tc>
        <w:tc>
          <w:tcPr>
            <w:tcW w:w="100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b w:val="1"/>
                <w:bCs w:val="1"/>
                <w:color w:val="auto"/>
              </w:rPr>
              <w:t>(3,188)</w:t>
            </w:r>
          </w:p>
        </w:tc>
        <w:tc>
          <w:tcPr>
            <w:tcW w:w="580" w:type="dxa"/>
            <w:vAlign w:val="bottom"/>
            <w:gridSpan w:val="2"/>
          </w:tcPr>
          <w:p>
            <w:pPr>
              <w:jc w:val="right"/>
              <w:ind w:right="40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4,864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0" w:type="dxa"/>
            <w:vAlign w:val="bottom"/>
          </w:tcPr>
          <w:p>
            <w:pPr>
              <w:spacing w:after="0"/>
              <w:rPr>
                <w:sz w:val="21"/>
                <w:szCs w:val="21"/>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 capital</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Share premium</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670,384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666,528</w:t>
            </w:r>
          </w:p>
        </w:tc>
        <w:tc>
          <w:tcPr>
            <w:tcW w:w="100" w:type="dxa"/>
            <w:vAlign w:val="bottom"/>
            <w:shd w:val="clear" w:color="auto" w:fill="CFF0FC"/>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Accumulated deficits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(711,762)</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(700,823)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604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 (deficit) equity</w:t>
            </w:r>
          </w:p>
        </w:tc>
        <w:tc>
          <w:tcPr>
            <w:tcW w:w="100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b w:val="1"/>
                <w:bCs w:val="1"/>
                <w:color w:val="auto"/>
              </w:rPr>
              <w:t>(3,188)</w:t>
            </w:r>
          </w:p>
        </w:tc>
        <w:tc>
          <w:tcPr>
            <w:tcW w:w="580" w:type="dxa"/>
            <w:vAlign w:val="bottom"/>
            <w:gridSpan w:val="2"/>
          </w:tcPr>
          <w:p>
            <w:pPr>
              <w:jc w:val="right"/>
              <w:ind w:right="40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4,864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1021"/>
              <w:spacing w:after="0"/>
              <w:rPr>
                <w:sz w:val="20"/>
                <w:szCs w:val="20"/>
                <w:color w:val="auto"/>
              </w:rPr>
            </w:pPr>
            <w:r>
              <w:rPr>
                <w:rFonts w:ascii="Arial" w:cs="Arial" w:eastAsia="Arial" w:hAnsi="Arial"/>
                <w:sz w:val="20"/>
                <w:szCs w:val="20"/>
                <w:color w:val="auto"/>
              </w:rPr>
              <w:t>6</w:t>
            </w: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68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8"/>
        </w:trPr>
        <w:tc>
          <w:tcPr>
            <w:tcW w:w="7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-4851400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-4851400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-4688205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-3942715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-3942715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-3779520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-3333750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-3333750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-3025140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-3025140</wp:posOffset>
            </wp:positionV>
            <wp:extent cx="59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-2862580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-2116455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-2116455</wp:posOffset>
            </wp:positionV>
            <wp:extent cx="59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-1936750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-1919605</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-1182370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-1182370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2026-04-27T07:20:51Z</dcterms:created>
  <dcterms:modified xsi:type="dcterms:W3CDTF">2026-04-27T07:20:51Z</dcterms:modified>
</cp:coreProperties>
</file>