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Yi-Kuei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668 ARROW GRAND CIR. SUITE 206</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COVINA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Apollomics Inc.</w:t>
              </w:r>
            </w:hyperlink>
            <w:r>
              <w:rPr/>
              <w:t xml:space="preserve"> [ </w:t>
            </w:r>
            <w:r>
              <w:rPr>
                <w:rFonts w:ascii="Times;serif" w:hAnsi="Times;serif"/>
                <w:color w:val="0000FF"/>
                <w:sz w:val="24"/>
                <w:shd w:fill="FFFFFF" w:val="clear"/>
              </w:rPr>
              <w:t>APLM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09/17/2026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2"/>
        <w:gridCol w:w="919"/>
        <w:gridCol w:w="789"/>
        <w:gridCol w:w="610"/>
        <w:gridCol w:w="343"/>
        <w:gridCol w:w="819"/>
        <w:gridCol w:w="428"/>
        <w:gridCol w:w="594"/>
        <w:gridCol w:w="1126"/>
        <w:gridCol w:w="974"/>
        <w:gridCol w:w="12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20,100</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121,248</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Through Maxpro Investment Co., Ltd.</w:t>
            </w:r>
            <w:r>
              <w:rPr>
                <w:rFonts w:ascii="Times;serif" w:hAnsi="Times;serif"/>
                <w:color w:val="008000"/>
                <w:position w:val="7"/>
                <w:sz w:val="16"/>
                <w:sz w:val="20"/>
                <w:shd w:fill="FFFFFF" w:val="clear"/>
              </w:rPr>
              <w:t>(2)</w:t>
            </w:r>
          </w:p>
        </w:tc>
      </w:tr>
    </w:tbl>
    <w:tbl>
      <w:tblPr>
        <w:tblW w:w="125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1146"/>
        <w:gridCol w:w="681"/>
        <w:gridCol w:w="801"/>
        <w:gridCol w:w="93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1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09/14/2036</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amount reported includes a 100 share adjustment for shares previously owned but inadvertently omitted.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member of the Board of Directors of Maxpro Investment Co., Ltd. and is co-founder and managing director of Maxpro Ventures Ltd. Excludes 3,823 Class A Ordinary Shares issuable upon the exercise of warrants held directly by Maxpro Investment Co., Ltd., which were previously reported on the Form 3 filed March 18, 2026 and the Form 3/A filed April 14, 2026.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was granted under the Apollomics Inc. 2023 Incentive Award Plan on September 14, 2026. The option vests and becomes exercisable over a one-year period: fifty percent (50%) of the shares subject to the option vest on March 14, 2027 (six months from the grant date), and the remaining fifty percent (50%) vest on September 14, 2027 (twelve months from the grant date), subject to the reporting person's continued service to the Issuer through each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RSUs were granted and previously reported on a Form 3 filed March 18, 2026 and a Form 3/A filed April 14, 2026. Of the initial RSU grant, 5,000 shares vested on each of February 9, 2026, March 15, 2026, June 15, 2026 and September 15, 2026. This transaction represents the vesting of 5,000 RSUs on September 15,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amended to correct the expiration date of the stock option and clarify the ownership of shares now discussed in footnote (1).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M. Pear,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232" TargetMode="External"/><Relationship Id="rId5" Type="http://schemas.openxmlformats.org/officeDocument/2006/relationships/hyperlink" Target="http://www.sec.gov/cgi-bin/browse-edgar?action=getcompany&amp;CIK=00019448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897</Words>
  <Characters>4724</Characters>
  <CharactersWithSpaces>5520</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