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1.gif" ContentType="image/gif"/>
  <Override PartName="/word/media/image6.jpeg" ContentType="image/jpeg"/>
  <Override PartName="/word/media/image7.jpeg" ContentType="image/jpeg"/>
  <Override PartName="/word/media/image8.jpeg" ContentType="image/jpeg"/>
  <Override PartName="/word/media/image9.gif" ContentType="image/gif"/>
  <Override PartName="/word/media/image10.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aplm-20251231.htm"/>
        <w:bookmarkStart w:id="1" w:name="ksaplm202512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6" w:space="1" w:color="000000"/>
        </w:pBdr>
        <w:bidi w:val="0"/>
        <w:jc w:val="center"/>
        <w:rPr>
          <w:rFonts w:ascii="Times New Roman" w:hAnsi="Times New Roman"/>
          <w:b/>
          <w:color w:val="000000"/>
          <w:sz w:val="6"/>
        </w:rPr>
      </w:pPr>
      <w:r>
        <w:rPr>
          <w:rFonts w:ascii="Times New Roman" w:hAnsi="Times New Roman"/>
          <w:b/>
          <w:color w:val="000000"/>
          <w:sz w:val="6"/>
        </w:rPr>
        <w:t>e</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7"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20-F</w:t>
      </w:r>
    </w:p>
    <w:p>
      <w:pPr>
        <w:pStyle w:val="TextBody"/>
        <w:pBdr>
          <w:bottom w:val="single" w:sz="7" w:space="1" w:color="000000"/>
        </w:pBdr>
        <w:bidi w:val="0"/>
        <w:jc w:val="center"/>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8"/>
              </w:rPr>
            </w:pPr>
            <w:r>
              <w:rPr>
                <w:rFonts w:ascii="Times New Roman" w:hAnsi="Times New Roman"/>
                <w:b/>
                <w:color w:val="000000"/>
                <w:sz w:val="18"/>
              </w:rPr>
              <w:t>REGISTRATION STATEMENT PURSUANT TO SECTION 12(b) OR 12(g)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fiscal year ended December 31, 2025</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82" w:type="dxa"/>
        <w:jc w:val="left"/>
        <w:tblInd w:w="0" w:type="dxa"/>
        <w:tblLayout w:type="fixed"/>
        <w:tblCellMar>
          <w:top w:w="28" w:type="dxa"/>
          <w:left w:w="28" w:type="dxa"/>
          <w:bottom w:w="28" w:type="dxa"/>
          <w:right w:w="28" w:type="dxa"/>
        </w:tblCellMar>
      </w:tblPr>
      <w:tblGrid>
        <w:gridCol w:w="331"/>
        <w:gridCol w:w="9451"/>
      </w:tblGrid>
      <w:tr>
        <w:trPr/>
        <w:tc>
          <w:tcPr>
            <w:tcW w:w="331"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172" w:type="dxa"/>
        <w:jc w:val="left"/>
        <w:tblInd w:w="0" w:type="dxa"/>
        <w:tblLayout w:type="fixed"/>
        <w:tblCellMar>
          <w:top w:w="28" w:type="dxa"/>
          <w:left w:w="28" w:type="dxa"/>
          <w:bottom w:w="28" w:type="dxa"/>
          <w:right w:w="28" w:type="dxa"/>
        </w:tblCellMar>
      </w:tblPr>
      <w:tblGrid>
        <w:gridCol w:w="331"/>
        <w:gridCol w:w="9841"/>
      </w:tblGrid>
      <w:tr>
        <w:trPr/>
        <w:tc>
          <w:tcPr>
            <w:tcW w:w="331"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4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8"/>
              </w:rPr>
            </w:pPr>
            <w:r>
              <w:rPr>
                <w:rFonts w:ascii="Times New Roman" w:hAnsi="Times New Roman"/>
                <w:b/>
                <w:color w:val="000000"/>
                <w:sz w:val="18"/>
              </w:rPr>
              <w:t>SHELL COMPANY REPORT PURSUANT TO SECTION 13 OR 15(d) OF THE SECURITIES EXCHANGE ACT OF 1934</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Number:001-41670</w:t>
      </w:r>
    </w:p>
    <w:p>
      <w:pPr>
        <w:pStyle w:val="TextBody"/>
        <w:pBdr>
          <w:bottom w:val="single" w:sz="7"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Apollomics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7" w:space="1" w:color="000000"/>
        </w:pBdr>
        <w:bidi w:val="0"/>
        <w:jc w:val="center"/>
        <w:rPr/>
      </w:pPr>
      <w:r>
        <w:rPr/>
        <w:t> </w:t>
      </w:r>
    </w:p>
    <w:p>
      <w:pPr>
        <w:pStyle w:val="TextBody"/>
        <w:bidi w:val="0"/>
        <w:jc w:val="left"/>
        <w:rPr/>
      </w:pPr>
      <w:r>
        <w:rPr/>
        <w:t> </w:t>
      </w:r>
    </w:p>
    <w:tbl>
      <w:tblPr>
        <w:tblW w:w="3861" w:type="dxa"/>
        <w:jc w:val="left"/>
        <w:tblInd w:w="0" w:type="dxa"/>
        <w:tblLayout w:type="fixed"/>
        <w:tblCellMar>
          <w:top w:w="28" w:type="dxa"/>
          <w:left w:w="28" w:type="dxa"/>
          <w:bottom w:w="28" w:type="dxa"/>
          <w:right w:w="28" w:type="dxa"/>
        </w:tblCellMar>
      </w:tblPr>
      <w:tblGrid>
        <w:gridCol w:w="1801"/>
        <w:gridCol w:w="109"/>
        <w:gridCol w:w="1951"/>
      </w:tblGrid>
      <w:tr>
        <w:trPr/>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 applicable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Cayman Islands</w:t>
            </w:r>
          </w:p>
        </w:tc>
      </w:tr>
      <w:tr>
        <w:trPr/>
        <w:tc>
          <w:tcPr>
            <w:tcW w:w="18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(Translation of Registrant’s</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into English)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(Jurisdiction of incorporation</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 organization)</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989 E. Hillsdale Blvd., Suite 220</w:t>
      </w:r>
    </w:p>
    <w:p>
      <w:pPr>
        <w:pStyle w:val="TextBody"/>
        <w:bidi w:val="0"/>
        <w:jc w:val="center"/>
        <w:rPr>
          <w:rFonts w:ascii="Times New Roman" w:hAnsi="Times New Roman"/>
          <w:sz w:val="20"/>
        </w:rPr>
      </w:pPr>
      <w:r>
        <w:rPr>
          <w:rFonts w:ascii="Times New Roman" w:hAnsi="Times New Roman"/>
          <w:b/>
          <w:color w:val="000000"/>
          <w:sz w:val="16"/>
        </w:rPr>
        <w:t>Foster City, California</w:t>
      </w:r>
      <w:r>
        <w:rPr>
          <w:rFonts w:ascii="Times New Roman" w:hAnsi="Times New Roman"/>
          <w:color w:val="000000"/>
          <w:sz w:val="20"/>
        </w:rPr>
        <w:t xml:space="preserve"> </w:t>
      </w:r>
      <w:r>
        <w:rPr>
          <w:rFonts w:ascii="Times New Roman" w:hAnsi="Times New Roman"/>
          <w:b/>
          <w:color w:val="000000"/>
          <w:sz w:val="16"/>
        </w:rPr>
        <w:t>94404</w:t>
      </w:r>
    </w:p>
    <w:p>
      <w:pPr>
        <w:pStyle w:val="TextBody"/>
        <w:bidi w:val="0"/>
        <w:jc w:val="center"/>
        <w:rPr>
          <w:rFonts w:ascii="Times New Roman" w:hAnsi="Times New Roman"/>
          <w:b/>
          <w:color w:val="000000"/>
          <w:sz w:val="14"/>
        </w:rPr>
      </w:pPr>
      <w:r>
        <w:rPr>
          <w:rFonts w:ascii="Times New Roman" w:hAnsi="Times New Roman"/>
          <w:b/>
          <w:color w:val="000000"/>
          <w:sz w:val="14"/>
        </w:rPr>
        <w:t>(Address of principal executive offices)</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Copy to:</w:t>
      </w:r>
    </w:p>
    <w:p>
      <w:pPr>
        <w:pStyle w:val="TextBody"/>
        <w:bidi w:val="0"/>
        <w:jc w:val="center"/>
        <w:rPr>
          <w:rFonts w:ascii="Times New Roman" w:hAnsi="Times New Roman"/>
          <w:b/>
          <w:color w:val="000000"/>
          <w:sz w:val="16"/>
        </w:rPr>
      </w:pPr>
      <w:r>
        <w:rPr>
          <w:rFonts w:ascii="Times New Roman" w:hAnsi="Times New Roman"/>
          <w:b/>
          <w:color w:val="000000"/>
          <w:sz w:val="16"/>
        </w:rPr>
        <w:t>Peter Lin</w:t>
      </w:r>
    </w:p>
    <w:p>
      <w:pPr>
        <w:pStyle w:val="TextBody"/>
        <w:bidi w:val="0"/>
        <w:jc w:val="center"/>
        <w:rPr>
          <w:rFonts w:ascii="Times New Roman" w:hAnsi="Times New Roman"/>
          <w:b/>
          <w:color w:val="000000"/>
          <w:sz w:val="16"/>
        </w:rPr>
      </w:pPr>
      <w:r>
        <w:rPr>
          <w:rFonts w:ascii="Times New Roman" w:hAnsi="Times New Roman"/>
          <w:b/>
          <w:color w:val="000000"/>
          <w:sz w:val="16"/>
        </w:rPr>
        <w:t>Chief Financial Officer</w:t>
      </w:r>
    </w:p>
    <w:p>
      <w:pPr>
        <w:pStyle w:val="TextBody"/>
        <w:bidi w:val="0"/>
        <w:jc w:val="center"/>
        <w:rPr>
          <w:rFonts w:ascii="Times New Roman" w:hAnsi="Times New Roman"/>
          <w:b/>
          <w:color w:val="000000"/>
          <w:sz w:val="16"/>
        </w:rPr>
      </w:pPr>
      <w:r>
        <w:rPr>
          <w:rFonts w:ascii="Times New Roman" w:hAnsi="Times New Roman"/>
          <w:b/>
          <w:color w:val="000000"/>
          <w:sz w:val="16"/>
        </w:rPr>
        <w:t>989 E. Hillsdale Blvd., Suite 220</w:t>
      </w:r>
    </w:p>
    <w:p>
      <w:pPr>
        <w:pStyle w:val="TextBody"/>
        <w:bidi w:val="0"/>
        <w:jc w:val="center"/>
        <w:rPr>
          <w:rFonts w:ascii="Times New Roman" w:hAnsi="Times New Roman"/>
          <w:sz w:val="20"/>
        </w:rPr>
      </w:pPr>
      <w:r>
        <w:rPr>
          <w:rFonts w:ascii="Times New Roman" w:hAnsi="Times New Roman"/>
          <w:b/>
          <w:color w:val="000000"/>
          <w:sz w:val="16"/>
        </w:rPr>
        <w:t>Foster City, California</w:t>
      </w:r>
      <w:r>
        <w:rPr>
          <w:rFonts w:ascii="Times New Roman" w:hAnsi="Times New Roman"/>
          <w:color w:val="000000"/>
          <w:sz w:val="20"/>
        </w:rPr>
        <w:t xml:space="preserve"> </w:t>
      </w:r>
      <w:r>
        <w:rPr>
          <w:rFonts w:ascii="Times New Roman" w:hAnsi="Times New Roman"/>
          <w:b/>
          <w:color w:val="000000"/>
          <w:sz w:val="16"/>
        </w:rPr>
        <w:t>94404</w:t>
      </w:r>
    </w:p>
    <w:p>
      <w:pPr>
        <w:pStyle w:val="TextBody"/>
        <w:bidi w:val="0"/>
        <w:jc w:val="center"/>
        <w:rPr>
          <w:rFonts w:ascii="Times New Roman" w:hAnsi="Times New Roman"/>
          <w:b/>
          <w:color w:val="000000"/>
          <w:sz w:val="16"/>
        </w:rPr>
      </w:pPr>
      <w:r>
        <w:rPr>
          <w:rFonts w:ascii="Times New Roman" w:hAnsi="Times New Roman"/>
          <w:b/>
          <w:color w:val="000000"/>
          <w:sz w:val="16"/>
        </w:rPr>
        <w:t>Telephone: (650)209-4055</w:t>
      </w:r>
    </w:p>
    <w:p>
      <w:pPr>
        <w:pStyle w:val="TextBody"/>
        <w:bidi w:val="0"/>
        <w:jc w:val="center"/>
        <w:rPr>
          <w:rFonts w:ascii="Times New Roman" w:hAnsi="Times New Roman"/>
          <w:b/>
          <w:color w:val="000000"/>
          <w:sz w:val="14"/>
        </w:rPr>
      </w:pPr>
      <w:r>
        <w:rPr>
          <w:rFonts w:ascii="Times New Roman" w:hAnsi="Times New Roman"/>
          <w:b/>
          <w:color w:val="000000"/>
          <w:sz w:val="14"/>
        </w:rPr>
        <w:t>(Name, Telephone, Email and/or Facsimile number and Address of Company Contact Person)</w:t>
      </w:r>
    </w:p>
    <w:p>
      <w:pPr>
        <w:pStyle w:val="TextBody"/>
        <w:pBdr>
          <w:bottom w:val="single" w:sz="7" w:space="1" w:color="000000"/>
        </w:pBdr>
        <w:bidi w:val="0"/>
        <w:jc w:val="center"/>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Securities registered or to be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4"/>
        <w:gridCol w:w="109"/>
        <w:gridCol w:w="751"/>
        <w:gridCol w:w="109"/>
        <w:gridCol w:w="2142"/>
      </w:tblGrid>
      <w:tr>
        <w:trPr/>
        <w:tc>
          <w:tcPr>
            <w:tcW w:w="7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r>
      <w:tr>
        <w:trPr/>
        <w:tc>
          <w:tcPr>
            <w:tcW w:w="7094"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2"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Name of each exchange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rPr/>
        <w:tc>
          <w:tcPr>
            <w:tcW w:w="70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Ordinary Shares, par value $0.01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APLM</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70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each exercisable to purchase one Class A Ordinary Share at an exercise price of $11.50 per 0.01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APLMW</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Securities registered or to be registered pursuant to Section 12(g) of the Act: None</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Securities for which there is a reporting obligation pursuant to Section 15(d) of the Act: None</w:t>
      </w:r>
    </w:p>
    <w:p>
      <w:pPr>
        <w:pStyle w:val="TextBody"/>
        <w:pBdr>
          <w:bottom w:val="single" w:sz="7" w:space="1" w:color="000000"/>
        </w:pBdr>
        <w:bidi w:val="0"/>
        <w:jc w:val="center"/>
        <w:rPr/>
      </w:pPr>
      <w:r>
        <w:rPr/>
        <w:t>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the number of outstanding shares of each of the issuer’s classes of capital or common stock as of the close of the period covered by the annual report:</w:t>
      </w:r>
    </w:p>
    <w:p>
      <w:pPr>
        <w:pStyle w:val="TextBody"/>
        <w:bidi w:val="0"/>
        <w:spacing w:before="60" w:after="283"/>
        <w:jc w:val="left"/>
        <w:rPr>
          <w:rFonts w:ascii="Times New Roman" w:hAnsi="Times New Roman"/>
          <w:sz w:val="20"/>
        </w:rPr>
      </w:pPr>
      <w:r>
        <w:rPr>
          <w:rFonts w:ascii="Times New Roman" w:hAnsi="Times New Roman"/>
          <w:color w:val="000000"/>
          <w:sz w:val="14"/>
        </w:rPr>
        <w:t>On April 24, 2026, the issuer had 2,196,052</w:t>
      </w:r>
      <w:r>
        <w:rPr>
          <w:rFonts w:ascii="Times New Roman" w:hAnsi="Times New Roman"/>
          <w:color w:val="000000"/>
          <w:sz w:val="20"/>
        </w:rPr>
        <w:t xml:space="preserve"> </w:t>
      </w:r>
      <w:r>
        <w:rPr>
          <w:rFonts w:ascii="Times New Roman" w:hAnsi="Times New Roman"/>
          <w:color w:val="000000"/>
          <w:sz w:val="14"/>
        </w:rPr>
        <w:t>Class A Ordinary Shares, par value $0.01 per share, outstanding.</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If this report is an annual or transition report, indicate by check mark if the registrant is not required to file reports pursuant to Section 13 or 15(d) of the Securities Exchange Act of 1934.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4"/>
        </w:rPr>
        <w:t>No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color w:val="000000"/>
          <w:sz w:val="14"/>
        </w:rPr>
        <w:t>No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or a non-accelerated filer, or an emerging growth company. See definition of “accelerated filer,” “large accelerated filer,” and “emerging growth company” in Rule12b-2of the Exchange Act. (Check one):</w:t>
      </w:r>
    </w:p>
    <w:p>
      <w:pPr>
        <w:pStyle w:val="TextBody"/>
        <w:bidi w:val="0"/>
        <w:jc w:val="left"/>
        <w:rPr/>
      </w:pPr>
      <w:r>
        <w:rPr/>
        <w:t> </w:t>
      </w:r>
    </w:p>
    <w:tbl>
      <w:tblPr>
        <w:tblW w:w="5591" w:type="dxa"/>
        <w:jc w:val="left"/>
        <w:tblInd w:w="0" w:type="dxa"/>
        <w:tblLayout w:type="fixed"/>
        <w:tblCellMar>
          <w:top w:w="28" w:type="dxa"/>
          <w:left w:w="28" w:type="dxa"/>
          <w:bottom w:w="28" w:type="dxa"/>
          <w:right w:w="28" w:type="dxa"/>
        </w:tblCellMar>
      </w:tblPr>
      <w:tblGrid>
        <w:gridCol w:w="1366"/>
        <w:gridCol w:w="109"/>
        <w:gridCol w:w="316"/>
        <w:gridCol w:w="109"/>
        <w:gridCol w:w="1036"/>
        <w:gridCol w:w="109"/>
        <w:gridCol w:w="316"/>
        <w:gridCol w:w="109"/>
        <w:gridCol w:w="1651"/>
        <w:gridCol w:w="109"/>
        <w:gridCol w:w="36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4"/>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 The term “new or revised financial accounting standard” refers to any update issued by the Financial Accounting Standards Board to its Accounting Standards Codification after April 5, 2012.</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any of those error corrections are restatements that required a recovery analysis of incentive based compensation received by any of the registrant’s executive officers during the relevant recovery period pursuant to§240.10D-1(b).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which basis of accounting the registrant has used to prepare the financial statements included in this filing:</w:t>
      </w:r>
    </w:p>
    <w:p>
      <w:pPr>
        <w:pStyle w:val="TextBody"/>
        <w:bidi w:val="0"/>
        <w:jc w:val="left"/>
        <w:rPr/>
      </w:pPr>
      <w:r>
        <w:rPr/>
        <w:t> </w:t>
      </w:r>
    </w:p>
    <w:tbl>
      <w:tblPr>
        <w:tblW w:w="8116" w:type="dxa"/>
        <w:jc w:val="left"/>
        <w:tblInd w:w="0" w:type="dxa"/>
        <w:tblLayout w:type="fixed"/>
        <w:tblCellMar>
          <w:top w:w="28" w:type="dxa"/>
          <w:left w:w="28" w:type="dxa"/>
          <w:bottom w:w="28" w:type="dxa"/>
          <w:right w:w="28" w:type="dxa"/>
        </w:tblCellMar>
      </w:tblPr>
      <w:tblGrid>
        <w:gridCol w:w="871"/>
        <w:gridCol w:w="109"/>
        <w:gridCol w:w="5986"/>
        <w:gridCol w:w="109"/>
        <w:gridCol w:w="316"/>
        <w:gridCol w:w="109"/>
        <w:gridCol w:w="616"/>
      </w:tblGrid>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 GAAP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International Financial Reporting Standards</w:t>
            </w:r>
            <w:r>
              <w:rPr>
                <w:rFonts w:ascii="Times New Roman" w:hAnsi="Times New Roman"/>
                <w:color w:val="000000"/>
                <w:sz w:val="20"/>
              </w:rPr>
              <w:t> </w:t>
            </w:r>
            <w:r>
              <w:rPr>
                <w:rFonts w:ascii="Times New Roman" w:hAnsi="Times New Roman"/>
                <w:color w:val="000000"/>
                <w:sz w:val="14"/>
              </w:rPr>
              <w:t>as issue by the International Accounting Standards Board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w:t>
            </w:r>
          </w:p>
        </w:tc>
      </w:tr>
    </w:tbl>
    <w:p>
      <w:pPr>
        <w:pStyle w:val="TextBody"/>
        <w:bidi w:val="0"/>
        <w:spacing w:before="60" w:after="283"/>
        <w:jc w:val="left"/>
        <w:rPr>
          <w:rFonts w:ascii="Times New Roman" w:hAnsi="Times New Roman"/>
          <w:color w:val="000000"/>
          <w:sz w:val="14"/>
        </w:rPr>
      </w:pPr>
      <w:r>
        <w:rPr>
          <w:rFonts w:ascii="Times New Roman" w:hAnsi="Times New Roman"/>
          <w:color w:val="000000"/>
          <w:sz w:val="14"/>
        </w:rPr>
        <w:t>If “Other” has been checked in response to the previous question indicate by check mark which financial statement item the registrant has elected to follow. Item 17 ☐ Item 18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this is an annual report, indicate by check mark whether the registrant is a shell company (as defined in Rule12b-2of the Exchange Act). Yes ☐ No </w:t>
      </w:r>
      <w:r>
        <w:rPr>
          <w:rFonts w:ascii="Times New Roman" w:hAnsi="Times New Roman"/>
          <w:color w:val="000000"/>
          <w:sz w:val="20"/>
        </w:rPr>
        <w:t>☒</w:t>
      </w:r>
    </w:p>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18"/>
        </w:rPr>
        <w:t>TABLE</w:t>
      </w:r>
      <w:r>
        <w:rPr>
          <w:rFonts w:ascii="Times New Roman" w:hAnsi="Times New Roman"/>
          <w:color w:val="000000"/>
          <w:sz w:val="20"/>
        </w:rPr>
        <w:t xml:space="preserve"> </w:t>
      </w:r>
      <w:r>
        <w:rPr>
          <w:rFonts w:ascii="Times New Roman" w:hAnsi="Times New Roman"/>
          <w:b/>
          <w:color w:val="000000"/>
          <w:sz w:val="18"/>
        </w:rPr>
        <w:t>OF CONTENTS</w:t>
      </w:r>
    </w:p>
    <w:p>
      <w:pPr>
        <w:pStyle w:val="TextBody"/>
        <w:bidi w:val="0"/>
        <w:jc w:val="left"/>
        <w:rPr/>
      </w:pPr>
      <w:r>
        <w:rPr/>
        <w:t> </w:t>
      </w:r>
    </w:p>
    <w:tbl>
      <w:tblPr>
        <w:tblW w:w="10180" w:type="dxa"/>
        <w:jc w:val="left"/>
        <w:tblInd w:w="0" w:type="dxa"/>
        <w:tblLayout w:type="fixed"/>
        <w:tblCellMar>
          <w:top w:w="28" w:type="dxa"/>
          <w:left w:w="28" w:type="dxa"/>
          <w:bottom w:w="28" w:type="dxa"/>
          <w:right w:w="28" w:type="dxa"/>
        </w:tblCellMar>
      </w:tblPr>
      <w:tblGrid>
        <w:gridCol w:w="931"/>
        <w:gridCol w:w="146"/>
        <w:gridCol w:w="8491"/>
        <w:gridCol w:w="146"/>
        <w:gridCol w:w="46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568" w:type="dxa"/>
            <w:gridSpan w:val="3"/>
            <w:tcBorders/>
            <w:tcMar>
              <w:top w:w="0" w:type="dxa"/>
              <w:left w:w="0" w:type="dxa"/>
              <w:bottom w:w="0" w:type="dxa"/>
              <w:right w:w="0" w:type="dxa"/>
            </w:tcMar>
            <w:vAlign w:val="center"/>
          </w:tcPr>
          <w:p>
            <w:pPr>
              <w:pStyle w:val="TableContents"/>
              <w:bidi w:val="0"/>
              <w:spacing w:before="0" w:after="283"/>
              <w:jc w:val="left"/>
              <w:rPr/>
            </w:pPr>
            <w:hyperlink w:anchor="about_this_annual_report">
              <w:r>
                <w:rPr>
                  <w:rStyle w:val="InternetLink"/>
                  <w:rFonts w:ascii="Times New Roman" w:hAnsi="Times New Roman"/>
                  <w:color w:val="0000FF"/>
                  <w:sz w:val="20"/>
                  <w:u w:val="single"/>
                </w:rPr>
                <w:t>ABOUT THIS ANNUAL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hyperlink w:anchor="about_this_annual_report">
              <w:r>
                <w:rPr>
                  <w:rStyle w:val="InternetLink"/>
                  <w:rFonts w:ascii="Times New Roman" w:hAnsi="Times New Roman"/>
                  <w:color w:val="000000"/>
                  <w:sz w:val="20"/>
                </w:rPr>
                <w:t>1</w:t>
              </w:r>
            </w:hyperlink>
          </w:p>
        </w:tc>
      </w:tr>
      <w:tr>
        <w:trPr/>
        <w:tc>
          <w:tcPr>
            <w:tcW w:w="9568" w:type="dxa"/>
            <w:gridSpan w:val="3"/>
            <w:tcBorders/>
            <w:tcMar>
              <w:top w:w="0" w:type="dxa"/>
              <w:left w:w="0" w:type="dxa"/>
              <w:bottom w:w="0" w:type="dxa"/>
              <w:right w:w="0" w:type="dxa"/>
            </w:tcMar>
            <w:vAlign w:val="center"/>
          </w:tcPr>
          <w:p>
            <w:pPr>
              <w:pStyle w:val="TableContents"/>
              <w:bidi w:val="0"/>
              <w:spacing w:before="0" w:after="283"/>
              <w:jc w:val="left"/>
              <w:rPr/>
            </w:pPr>
            <w:hyperlink w:anchor="industry_and_market_data">
              <w:r>
                <w:rPr>
                  <w:rStyle w:val="InternetLink"/>
                  <w:rFonts w:ascii="Times New Roman" w:hAnsi="Times New Roman"/>
                  <w:color w:val="0000FF"/>
                  <w:sz w:val="20"/>
                  <w:u w:val="single"/>
                </w:rPr>
                <w:t>INDUSTRY AND MARKET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hyperlink w:anchor="industry_and_market_data">
              <w:r>
                <w:rPr>
                  <w:rStyle w:val="InternetLink"/>
                  <w:rFonts w:ascii="Times New Roman" w:hAnsi="Times New Roman"/>
                  <w:color w:val="000000"/>
                  <w:sz w:val="20"/>
                </w:rPr>
                <w:t>1</w:t>
              </w:r>
            </w:hyperlink>
          </w:p>
        </w:tc>
      </w:tr>
      <w:tr>
        <w:trPr/>
        <w:tc>
          <w:tcPr>
            <w:tcW w:w="9568" w:type="dxa"/>
            <w:gridSpan w:val="3"/>
            <w:tcBorders/>
            <w:tcMar>
              <w:top w:w="0" w:type="dxa"/>
              <w:left w:w="0" w:type="dxa"/>
              <w:bottom w:w="0" w:type="dxa"/>
              <w:right w:w="0" w:type="dxa"/>
            </w:tcMar>
            <w:vAlign w:val="center"/>
          </w:tcPr>
          <w:p>
            <w:pPr>
              <w:pStyle w:val="TableContents"/>
              <w:bidi w:val="0"/>
              <w:spacing w:before="0" w:after="283"/>
              <w:jc w:val="left"/>
              <w:rPr/>
            </w:pPr>
            <w:hyperlink w:anchor="trademarks_trade_names_service_marks">
              <w:r>
                <w:rPr>
                  <w:rStyle w:val="InternetLink"/>
                  <w:rFonts w:ascii="Times New Roman" w:hAnsi="Times New Roman"/>
                  <w:color w:val="0000FF"/>
                  <w:sz w:val="20"/>
                  <w:u w:val="single"/>
                </w:rPr>
                <w:t>TRADEMARKS, TRADE NAMES AND SERVICE MARKS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hyperlink w:anchor="trademarks_trade_names_service_marks">
              <w:r>
                <w:rPr>
                  <w:rStyle w:val="InternetLink"/>
                  <w:rFonts w:ascii="Times New Roman" w:hAnsi="Times New Roman"/>
                  <w:color w:val="000000"/>
                  <w:sz w:val="20"/>
                </w:rPr>
                <w:t>1</w:t>
              </w:r>
            </w:hyperlink>
          </w:p>
        </w:tc>
      </w:tr>
      <w:tr>
        <w:trPr/>
        <w:tc>
          <w:tcPr>
            <w:tcW w:w="9568" w:type="dxa"/>
            <w:gridSpan w:val="3"/>
            <w:tcBorders/>
            <w:tcMar>
              <w:top w:w="0" w:type="dxa"/>
              <w:left w:w="0" w:type="dxa"/>
              <w:bottom w:w="0" w:type="dxa"/>
              <w:right w:w="0" w:type="dxa"/>
            </w:tcMar>
            <w:vAlign w:val="center"/>
          </w:tcPr>
          <w:p>
            <w:pPr>
              <w:pStyle w:val="TableContents"/>
              <w:bidi w:val="0"/>
              <w:spacing w:before="0" w:after="283"/>
              <w:jc w:val="left"/>
              <w:rPr/>
            </w:pPr>
            <w:hyperlink w:anchor="cautionary_statement_regarding_forwa_sta">
              <w:r>
                <w:rPr>
                  <w:rStyle w:val="InternetLink"/>
                  <w:rFonts w:ascii="Times New Roman" w:hAnsi="Times New Roman"/>
                  <w:color w:val="0000FF"/>
                  <w:sz w:val="20"/>
                  <w:u w:val="single"/>
                </w:rPr>
                <w:t>CAUTIONARY STATEMENT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hyperlink w:anchor="cautionary_statement_regarding_forwa_sta">
              <w:r>
                <w:rPr>
                  <w:rStyle w:val="InternetLink"/>
                  <w:rFonts w:ascii="Times New Roman" w:hAnsi="Times New Roman"/>
                  <w:color w:val="000000"/>
                  <w:sz w:val="20"/>
                </w:rPr>
                <w:t>2</w:t>
              </w:r>
            </w:hyperlink>
          </w:p>
        </w:tc>
      </w:tr>
      <w:tr>
        <w:trPr/>
        <w:tc>
          <w:tcPr>
            <w:tcW w:w="9568" w:type="dxa"/>
            <w:gridSpan w:val="3"/>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IDENTITY OF DIRECTORS, SENIOR MANAGEMENT AND ADVISERS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OFFER STATISTICS AND EXPECTED TIMETABLE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KEY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3_a">
              <w:r>
                <w:rPr>
                  <w:rStyle w:val="InternetLink"/>
                  <w:rFonts w:ascii="Times New Roman" w:hAnsi="Times New Roman"/>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3_b">
              <w:r>
                <w:rPr>
                  <w:rStyle w:val="InternetLink"/>
                  <w:rFonts w:ascii="Times New Roman" w:hAnsi="Times New Roman"/>
                  <w:color w:val="0000FF"/>
                  <w:sz w:val="20"/>
                  <w:u w:val="single"/>
                </w:rPr>
                <w:t>CAPITALIZATION AND INDEBTEDNESS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3_c">
              <w:r>
                <w:rPr>
                  <w:rStyle w:val="InternetLink"/>
                  <w:rFonts w:ascii="Times New Roman" w:hAnsi="Times New Roman"/>
                  <w:color w:val="0000FF"/>
                  <w:sz w:val="20"/>
                  <w:u w:val="single"/>
                </w:rPr>
                <w:t>REASONS FOR THE OFFER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3_d">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INFORMATION ON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4_a">
              <w:r>
                <w:rPr>
                  <w:rStyle w:val="InternetLink"/>
                  <w:rFonts w:ascii="Times New Roman" w:hAnsi="Times New Roman"/>
                  <w:color w:val="0000FF"/>
                  <w:sz w:val="20"/>
                  <w:u w:val="single"/>
                </w:rPr>
                <w:t>HISTORY AND DEVELOPMENT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4_b">
              <w:r>
                <w:rPr>
                  <w:rStyle w:val="InternetLink"/>
                  <w:rFonts w:ascii="Times New Roman" w:hAnsi="Times New Roman"/>
                  <w:color w:val="0000FF"/>
                  <w:sz w:val="20"/>
                  <w:u w:val="single"/>
                </w:rPr>
                <w:t>BUSINESS OVERVIEW</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m4_c">
              <w:r>
                <w:rPr>
                  <w:rStyle w:val="InternetLink"/>
                  <w:rFonts w:ascii="Times New Roman" w:hAnsi="Times New Roman"/>
                  <w:color w:val="0000FF"/>
                  <w:sz w:val="20"/>
                  <w:u w:val="single"/>
                </w:rPr>
                <w:t>ORGANIZATIONAL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m_4_d">
              <w:r>
                <w:rPr>
                  <w:rStyle w:val="InternetLink"/>
                  <w:rFonts w:ascii="Times New Roman" w:hAnsi="Times New Roman"/>
                  <w:color w:val="0000FF"/>
                  <w:sz w:val="20"/>
                  <w:u w:val="single"/>
                </w:rPr>
                <w:t>PROPERTY, PLANT AND EQUIPMENT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m_4a">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OPERATING AND FINANCIAL REVIEW AND PROSPECTS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5_a">
              <w:r>
                <w:rPr>
                  <w:rStyle w:val="InternetLink"/>
                  <w:rFonts w:ascii="Times New Roman" w:hAnsi="Times New Roman"/>
                  <w:color w:val="0000FF"/>
                  <w:sz w:val="20"/>
                  <w:u w:val="single"/>
                </w:rPr>
                <w:t>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m5_b">
              <w:r>
                <w:rPr>
                  <w:rStyle w:val="InternetLink"/>
                  <w:rFonts w:ascii="Times New Roman" w:hAnsi="Times New Roman"/>
                  <w:color w:val="0000FF"/>
                  <w:sz w:val="20"/>
                  <w:u w:val="single"/>
                </w:rPr>
                <w:t>LIQUIDITY AND CAPITAL RESOURCES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m5_c">
              <w:r>
                <w:rPr>
                  <w:rStyle w:val="InternetLink"/>
                  <w:rFonts w:ascii="Times New Roman" w:hAnsi="Times New Roman"/>
                  <w:color w:val="0000FF"/>
                  <w:sz w:val="20"/>
                  <w:u w:val="single"/>
                </w:rPr>
                <w:t>RESEARCH AND DEVELOPMENT, PATENTS AND LICENSES, ETC.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m5_d">
              <w:r>
                <w:rPr>
                  <w:rStyle w:val="InternetLink"/>
                  <w:rFonts w:ascii="Times New Roman" w:hAnsi="Times New Roman"/>
                  <w:color w:val="0000FF"/>
                  <w:sz w:val="20"/>
                  <w:u w:val="single"/>
                </w:rPr>
                <w:t>TREND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m5_f">
              <w:r>
                <w:rPr>
                  <w:rStyle w:val="InternetLink"/>
                  <w:rFonts w:ascii="Times New Roman" w:hAnsi="Times New Roman"/>
                  <w:color w:val="0000FF"/>
                  <w:sz w:val="20"/>
                  <w:u w:val="single"/>
                </w:rPr>
                <w:t>CRITICAL ACCOUNTING ESTIMATES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DIRECTORS, SENIOR MANAGEMENT AND EMPLOYEES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6_a">
              <w:r>
                <w:rPr>
                  <w:rStyle w:val="InternetLink"/>
                  <w:rFonts w:ascii="Times New Roman" w:hAnsi="Times New Roman"/>
                  <w:color w:val="0000FF"/>
                  <w:sz w:val="20"/>
                  <w:u w:val="single"/>
                </w:rPr>
                <w:t>DIRECTORS AND SENIOR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6_b">
              <w:r>
                <w:rPr>
                  <w:rStyle w:val="InternetLink"/>
                  <w:rFonts w:ascii="Times New Roman" w:hAnsi="Times New Roman"/>
                  <w:color w:val="0000FF"/>
                  <w:sz w:val="20"/>
                  <w:u w:val="single"/>
                </w:rPr>
                <w:t>COMPENSATION OF DIRECTORS AND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6_c">
              <w:r>
                <w:rPr>
                  <w:rStyle w:val="InternetLink"/>
                  <w:rFonts w:ascii="Times New Roman" w:hAnsi="Times New Roman"/>
                  <w:color w:val="0000FF"/>
                  <w:sz w:val="20"/>
                  <w:u w:val="single"/>
                </w:rPr>
                <w:t>BOARD PRACTICES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6_d">
              <w:r>
                <w:rPr>
                  <w:rStyle w:val="InternetLink"/>
                  <w:rFonts w:ascii="Times New Roman" w:hAnsi="Times New Roman"/>
                  <w:color w:val="0000FF"/>
                  <w:sz w:val="20"/>
                  <w:u w:val="single"/>
                </w:rPr>
                <w:t>EMPLOYEES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6_e">
              <w:r>
                <w:rPr>
                  <w:rStyle w:val="InternetLink"/>
                  <w:rFonts w:ascii="Times New Roman" w:hAnsi="Times New Roman"/>
                  <w:color w:val="0000FF"/>
                  <w:sz w:val="20"/>
                  <w:u w:val="single"/>
                </w:rPr>
                <w:t>SHARE OWNERSHIP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7_major_shareholders_and_related">
              <w:r>
                <w:rPr>
                  <w:rStyle w:val="InternetLink"/>
                  <w:rFonts w:ascii="Times New Roman" w:hAnsi="Times New Roman"/>
                  <w:color w:val="0000FF"/>
                  <w:sz w:val="20"/>
                  <w:u w:val="single"/>
                </w:rPr>
                <w:t>MAJOR SHAREHOLDERS AND 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7a">
              <w:r>
                <w:rPr>
                  <w:rStyle w:val="InternetLink"/>
                  <w:rFonts w:ascii="Times New Roman" w:hAnsi="Times New Roman"/>
                  <w:color w:val="0000FF"/>
                  <w:sz w:val="20"/>
                  <w:u w:val="single"/>
                </w:rPr>
                <w:t>MAJOR SHAREHOLDERS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7b">
              <w:r>
                <w:rPr>
                  <w:rStyle w:val="InternetLink"/>
                  <w:rFonts w:ascii="Times New Roman" w:hAnsi="Times New Roman"/>
                  <w:color w:val="0000FF"/>
                  <w:sz w:val="20"/>
                  <w:u w:val="single"/>
                </w:rPr>
                <w:t>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7c">
              <w:r>
                <w:rPr>
                  <w:rStyle w:val="InternetLink"/>
                  <w:rFonts w:ascii="Times New Roman" w:hAnsi="Times New Roman"/>
                  <w:color w:val="0000FF"/>
                  <w:sz w:val="20"/>
                  <w:u w:val="single"/>
                </w:rPr>
                <w:t>INTERESTS OF EXPERTS AND COUNSEL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8">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8_a">
              <w:r>
                <w:rPr>
                  <w:rStyle w:val="InternetLink"/>
                  <w:rFonts w:ascii="Times New Roman" w:hAnsi="Times New Roman"/>
                  <w:color w:val="0000FF"/>
                  <w:sz w:val="20"/>
                  <w:u w:val="single"/>
                </w:rPr>
                <w:t>CONSOLIDATED STATEMENTS AND OTHER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8_b">
              <w:r>
                <w:rPr>
                  <w:rStyle w:val="InternetLink"/>
                  <w:rFonts w:ascii="Times New Roman" w:hAnsi="Times New Roman"/>
                  <w:color w:val="0000FF"/>
                  <w:sz w:val="20"/>
                  <w:u w:val="single"/>
                </w:rPr>
                <w:t>SIGNIFICANT CHANGES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THE OFFER AND LISTING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9_a">
              <w:r>
                <w:rPr>
                  <w:rStyle w:val="InternetLink"/>
                  <w:rFonts w:ascii="Times New Roman" w:hAnsi="Times New Roman"/>
                  <w:color w:val="0000FF"/>
                  <w:sz w:val="20"/>
                  <w:u w:val="single"/>
                </w:rPr>
                <w:t>OFFER AND LISTING DETAILS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9_b">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9_c">
              <w:r>
                <w:rPr>
                  <w:rStyle w:val="InternetLink"/>
                  <w:rFonts w:ascii="Times New Roman" w:hAnsi="Times New Roman"/>
                  <w:color w:val="0000FF"/>
                  <w:sz w:val="20"/>
                  <w:u w:val="single"/>
                </w:rPr>
                <w:t>MARKETS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9_d">
              <w:r>
                <w:rPr>
                  <w:rStyle w:val="InternetLink"/>
                  <w:rFonts w:ascii="Times New Roman" w:hAnsi="Times New Roman"/>
                  <w:color w:val="0000FF"/>
                  <w:sz w:val="20"/>
                  <w:u w:val="single"/>
                </w:rPr>
                <w:t>SELLING SHAREHOLDERS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9_e">
              <w:r>
                <w:rPr>
                  <w:rStyle w:val="InternetLink"/>
                  <w:rFonts w:ascii="Times New Roman" w:hAnsi="Times New Roman"/>
                  <w:color w:val="0000FF"/>
                  <w:sz w:val="20"/>
                  <w:u w:val="single"/>
                </w:rPr>
                <w:t>DILUTION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9_f">
              <w:r>
                <w:rPr>
                  <w:rStyle w:val="InternetLink"/>
                  <w:rFonts w:ascii="Times New Roman" w:hAnsi="Times New Roman"/>
                  <w:color w:val="0000FF"/>
                  <w:sz w:val="20"/>
                  <w:u w:val="single"/>
                </w:rPr>
                <w:t>EXPENSES OF THE ISSUE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a">
              <w:r>
                <w:rPr>
                  <w:rStyle w:val="InternetLink"/>
                  <w:rFonts w:ascii="Times New Roman" w:hAnsi="Times New Roman"/>
                  <w:color w:val="0000FF"/>
                  <w:sz w:val="20"/>
                  <w:u w:val="single"/>
                </w:rPr>
                <w:t>SHARE CAPITAL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b">
              <w:r>
                <w:rPr>
                  <w:rStyle w:val="InternetLink"/>
                  <w:rFonts w:ascii="Times New Roman" w:hAnsi="Times New Roman"/>
                  <w:color w:val="0000FF"/>
                  <w:sz w:val="20"/>
                  <w:u w:val="single"/>
                </w:rPr>
                <w:t>MEMORANDUM AND ARTICLES OF ASSOCIATION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c">
              <w:r>
                <w:rPr>
                  <w:rStyle w:val="InternetLink"/>
                  <w:rFonts w:ascii="Times New Roman" w:hAnsi="Times New Roman"/>
                  <w:color w:val="0000FF"/>
                  <w:sz w:val="20"/>
                  <w:u w:val="single"/>
                </w:rPr>
                <w:t>MATERIAL CONTRACTS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d">
              <w:r>
                <w:rPr>
                  <w:rStyle w:val="InternetLink"/>
                  <w:rFonts w:ascii="Times New Roman" w:hAnsi="Times New Roman"/>
                  <w:color w:val="0000FF"/>
                  <w:sz w:val="20"/>
                  <w:u w:val="single"/>
                </w:rPr>
                <w:t>EXCHANGE CONTROLS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e">
              <w:r>
                <w:rPr>
                  <w:rStyle w:val="InternetLink"/>
                  <w:rFonts w:ascii="Times New Roman" w:hAnsi="Times New Roman"/>
                  <w:color w:val="0000FF"/>
                  <w:sz w:val="20"/>
                  <w:u w:val="single"/>
                </w:rPr>
                <w:t>TAXATION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f">
              <w:r>
                <w:rPr>
                  <w:rStyle w:val="InternetLink"/>
                  <w:rFonts w:ascii="Times New Roman" w:hAnsi="Times New Roman"/>
                  <w:color w:val="0000FF"/>
                  <w:sz w:val="20"/>
                  <w:u w:val="single"/>
                </w:rPr>
                <w:t>DIVIDENDS AND PAYING AGENTS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g">
              <w:r>
                <w:rPr>
                  <w:rStyle w:val="InternetLink"/>
                  <w:rFonts w:ascii="Times New Roman" w:hAnsi="Times New Roman"/>
                  <w:color w:val="0000FF"/>
                  <w:sz w:val="20"/>
                  <w:u w:val="single"/>
                </w:rPr>
                <w:t>STATEMENT BY 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h">
              <w:r>
                <w:rPr>
                  <w:rStyle w:val="InternetLink"/>
                  <w:rFonts w:ascii="Times New Roman" w:hAnsi="Times New Roman"/>
                  <w:color w:val="0000FF"/>
                  <w:sz w:val="20"/>
                  <w:u w:val="single"/>
                </w:rPr>
                <w:t>DOCUMENTS ON DISPLAY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i">
              <w:r>
                <w:rPr>
                  <w:rStyle w:val="InternetLink"/>
                  <w:rFonts w:ascii="Times New Roman" w:hAnsi="Times New Roman"/>
                  <w:color w:val="0000FF"/>
                  <w:sz w:val="20"/>
                  <w:u w:val="single"/>
                </w:rPr>
                <w:t>SUBSIDIARY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10_j">
              <w:r>
                <w:rPr>
                  <w:rStyle w:val="InternetLink"/>
                  <w:rFonts w:ascii="Times New Roman" w:hAnsi="Times New Roman"/>
                  <w:color w:val="0000FF"/>
                  <w:sz w:val="20"/>
                  <w:u w:val="single"/>
                </w:rPr>
                <w:t>ANNUAL REPORT TO SECURITY 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DESCRIPTION OF SECURITIES OTHER THAN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DEFAULTS, DIVIDEND ARREARAGES AND DELINQUENCIES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MATERIAL MODIFICATIONS TO THE RIGHTS OF SECURITY HOLDERS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1036"/>
        <w:gridCol w:w="146"/>
        <w:gridCol w:w="7711"/>
        <w:gridCol w:w="146"/>
        <w:gridCol w:w="466"/>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a">
              <w:r>
                <w:rPr>
                  <w:rStyle w:val="InternetLink"/>
                  <w:rFonts w:ascii="Times New Roman" w:hAnsi="Times New Roman"/>
                  <w:color w:val="0000FF"/>
                  <w:sz w:val="20"/>
                  <w:u w:val="single"/>
                </w:rPr>
                <w:t>AUDIT COMMITTEE FINANCIAL EXPERT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b">
              <w:r>
                <w:rPr>
                  <w:rStyle w:val="InternetLink"/>
                  <w:rFonts w:ascii="Times New Roman" w:hAnsi="Times New Roman"/>
                  <w:color w:val="0000FF"/>
                  <w:sz w:val="20"/>
                  <w:u w:val="single"/>
                </w:rPr>
                <w:t>CODE OF ETHICS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c">
              <w:r>
                <w:rPr>
                  <w:rStyle w:val="InternetLink"/>
                  <w:rFonts w:ascii="Times New Roman" w:hAnsi="Times New Roman"/>
                  <w:color w:val="0000FF"/>
                  <w:sz w:val="20"/>
                  <w:u w:val="single"/>
                </w:rPr>
                <w:t>PRINCIPAL ACCOUNTING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d">
              <w:r>
                <w:rPr>
                  <w:rStyle w:val="InternetLink"/>
                  <w:rFonts w:ascii="Times New Roman" w:hAnsi="Times New Roman"/>
                  <w:color w:val="0000FF"/>
                  <w:sz w:val="20"/>
                  <w:u w:val="single"/>
                </w:rPr>
                <w:t>EXEMPTIONS FROM THE LISTING STANDARDS FOR AUDIT COMMITTEES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e">
              <w:r>
                <w:rPr>
                  <w:rStyle w:val="InternetLink"/>
                  <w:rFonts w:ascii="Times New Roman" w:hAnsi="Times New Roman"/>
                  <w:color w:val="0000FF"/>
                  <w:sz w:val="20"/>
                  <w:u w:val="single"/>
                </w:rPr>
                <w:t>PURCHASES OF EQUITY SECURITIES BY THE ISSUER AND AFFILIATED PURCHASERS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f">
              <w:r>
                <w:rPr>
                  <w:rStyle w:val="InternetLink"/>
                  <w:rFonts w:ascii="Times New Roman" w:hAnsi="Times New Roman"/>
                  <w:color w:val="0000FF"/>
                  <w:sz w:val="20"/>
                  <w:u w:val="single"/>
                </w:rPr>
                <w:t>CHANGE IN REGISTRANT’S CERTIFYING ACCOUNTANT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g">
              <w:r>
                <w:rPr>
                  <w:rStyle w:val="InternetLink"/>
                  <w:rFonts w:ascii="Times New Roman" w:hAnsi="Times New Roman"/>
                  <w:color w:val="0000FF"/>
                  <w:sz w:val="20"/>
                  <w:u w:val="single"/>
                </w:rPr>
                <w:t>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h">
              <w:r>
                <w:rPr>
                  <w:rStyle w:val="InternetLink"/>
                  <w:rFonts w:ascii="Times New Roman" w:hAnsi="Times New Roman"/>
                  <w:color w:val="0000FF"/>
                  <w:sz w:val="20"/>
                  <w:u w:val="single"/>
                </w:rPr>
                <w:t>MINE SAFETY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i">
              <w:r>
                <w:rPr>
                  <w:rStyle w:val="InternetLink"/>
                  <w:rFonts w:ascii="Times New Roman" w:hAnsi="Times New Roman"/>
                  <w:color w:val="0000FF"/>
                  <w:sz w:val="20"/>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16J.</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j">
              <w:r>
                <w:rPr>
                  <w:rStyle w:val="InternetLink"/>
                  <w:rFonts w:ascii="Times New Roman" w:hAnsi="Times New Roman"/>
                  <w:color w:val="0000FF"/>
                  <w:sz w:val="20"/>
                  <w:u w:val="single"/>
                </w:rPr>
                <w:t>INSIDER TRADING POLICIES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16K.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16_k">
              <w:r>
                <w:rPr>
                  <w:rStyle w:val="InternetLink"/>
                  <w:rFonts w:ascii="Times New Roman" w:hAnsi="Times New Roman"/>
                  <w:caps/>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r>
        <w:trPr/>
        <w:tc>
          <w:tcPr>
            <w:tcW w:w="1036"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_17">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_18">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hyperlink w:anchor="item_19">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889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8893" w:type="dxa"/>
            <w:gridSpan w:val="3"/>
            <w:tcBorders/>
            <w:tcMar>
              <w:top w:w="0" w:type="dxa"/>
              <w:left w:w="0" w:type="dxa"/>
              <w:bottom w:w="0" w:type="dxa"/>
              <w:right w:w="0" w:type="dxa"/>
            </w:tcMar>
            <w:vAlign w:val="center"/>
          </w:tcPr>
          <w:p>
            <w:pPr>
              <w:pStyle w:val="TableContents"/>
              <w:bidi w:val="0"/>
              <w:spacing w:before="0" w:after="283"/>
              <w:jc w:val="left"/>
              <w:rPr/>
            </w:pPr>
            <w:hyperlink w:anchor="index_the_consolidated_financial_statem">
              <w:r>
                <w:rPr>
                  <w:rStyle w:val="InternetLink"/>
                  <w:rFonts w:ascii="Times New Roman" w:hAnsi="Times New Roman"/>
                  <w:color w:val="0000FF"/>
                  <w:sz w:val="20"/>
                  <w:u w:val="single"/>
                </w:rPr>
                <w:t>INDEX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about_this_annual_report"/>
      <w:bookmarkEnd w:id="3"/>
      <w:r>
        <w:rPr>
          <w:rFonts w:ascii="Times New Roman" w:hAnsi="Times New Roman"/>
          <w:b/>
          <w:color w:val="000000"/>
          <w:sz w:val="20"/>
        </w:rPr>
        <w:t>ABOUT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where the context otherwise requires or where otherwise indicated in this annual report (this “Annual Report”), the terms “Apollomics,” the “Company,” “we,” “us,” “our,” “our company” and “our business” refer to Apollomics Inc., together with its consolidated subsidiaries as a consolidated entity.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references in this Annual Report to “Business Combination” refer to the transactions effected under the business combination agreement, dated as of September 14, 2022 (as amended, the “Business Combination Agreement”), by and among Maxpro Capital Acquisition Corp., a Delaware corporation (“Maxpro”), Apollomics and Project Max SPAC Merger Sub, Inc., a Delaware corporation and a wholly-owned subsidiary of Apollomics (“Merger Sub”). Pursuant to the Business Combination Agreement, Merger Sub merged with and into Maxpro, with Maxpro surviving the merger. Upon consummation of the Business Combination and the other transactions contemplated by the Business Combination Agreement on March 29, 2023, Maxpro became a wholly owned subsidiary of Apollomics and Apollomics became a publicly traded company on the Nasdaq Capital Market (“Nasdaq”) under the trading symbols "APLM" and “APLMW”.</w:t>
      </w:r>
    </w:p>
    <w:p>
      <w:pPr>
        <w:pStyle w:val="TextBody"/>
        <w:bidi w:val="0"/>
        <w:spacing w:before="360" w:after="283"/>
        <w:jc w:val="center"/>
        <w:rPr>
          <w:rFonts w:ascii="Times New Roman" w:hAnsi="Times New Roman"/>
          <w:sz w:val="20"/>
        </w:rPr>
      </w:pPr>
      <w:bookmarkStart w:id="4" w:name="industry_and_market_data"/>
      <w:bookmarkEnd w:id="4"/>
      <w:r>
        <w:rPr>
          <w:rFonts w:ascii="Times New Roman" w:hAnsi="Times New Roman"/>
          <w:b/>
          <w:color w:val="000000"/>
          <w:sz w:val="20"/>
        </w:rPr>
        <w:t>INDUSTRY AND</w:t>
      </w:r>
      <w:r>
        <w:rPr>
          <w:rFonts w:ascii="Times New Roman" w:hAnsi="Times New Roman"/>
          <w:color w:val="000000"/>
          <w:sz w:val="20"/>
        </w:rPr>
        <w:t xml:space="preserve"> </w:t>
      </w:r>
      <w:r>
        <w:rPr>
          <w:rFonts w:ascii="Times New Roman" w:hAnsi="Times New Roman"/>
          <w:b/>
          <w:color w:val="000000"/>
          <w:sz w:val="20"/>
        </w:rPr>
        <w:t>MARKET DATA</w:t>
      </w:r>
    </w:p>
    <w:p>
      <w:pPr>
        <w:pStyle w:val="TextBody"/>
        <w:bidi w:val="0"/>
        <w:spacing w:before="240" w:after="283"/>
        <w:jc w:val="left"/>
        <w:rPr>
          <w:rFonts w:ascii="Times New Roman" w:hAnsi="Times New Roman"/>
          <w:sz w:val="20"/>
        </w:rPr>
      </w:pPr>
      <w:r>
        <w:rPr>
          <w:rFonts w:ascii="Times New Roman" w:hAnsi="Times New Roman"/>
          <w:color w:val="000000"/>
          <w:sz w:val="20"/>
        </w:rPr>
        <w:t>Unless otherwise indicated, information contained in this Annual Report concerning Apollomics’ industry and the regions in which it operates, including Apollomics’ general expectations and market position, market opportunity, market share and other management estimates, is based on information obtained from various independent publicly available sources and reports provided to us. Apollomics has not independently verified the accuracy or completeness of any third-party information. Similarly, internal surveys, industry forecasts and market research, which Apollomics believes to be reliable based upon its management’s knowledge of the industry, have not been independently verified. While Apollomics believes that the market data, industry forecasts and similar information included in this Annual Report are generally reliable, such information is inherently imprecise. In addition, assumptions and estimates of Apollomics’ future performance and growth objectives and the future performance of its industry and the markets in which it operates are necessarily subject to a high degree of uncertainty and risk due to a variety of factors, including those discussed under the headings “</w:t>
      </w:r>
      <w:r>
        <w:rPr>
          <w:rFonts w:ascii="Times New Roman" w:hAnsi="Times New Roman"/>
          <w:i/>
          <w:color w:val="000000"/>
          <w:sz w:val="20"/>
        </w:rPr>
        <w:t>Cautionary Statement Regarding Forward-Looking Statements</w:t>
      </w:r>
      <w:r>
        <w:rPr>
          <w:rFonts w:ascii="Times New Roman" w:hAnsi="Times New Roman"/>
          <w:color w:val="000000"/>
          <w:sz w:val="20"/>
        </w:rPr>
        <w:t>”, Item 3.D. “</w:t>
      </w:r>
      <w:r>
        <w:rPr>
          <w:rFonts w:ascii="Times New Roman" w:hAnsi="Times New Roman"/>
          <w:i/>
          <w:color w:val="000000"/>
          <w:sz w:val="20"/>
        </w:rPr>
        <w:t>Key Information—Risk Factors</w:t>
      </w:r>
      <w:r>
        <w:rPr>
          <w:rFonts w:ascii="Times New Roman" w:hAnsi="Times New Roman"/>
          <w:color w:val="000000"/>
          <w:sz w:val="20"/>
        </w:rPr>
        <w:t>” and Item 5. “</w:t>
      </w:r>
      <w:r>
        <w:rPr>
          <w:rFonts w:ascii="Times New Roman" w:hAnsi="Times New Roman"/>
          <w:i/>
          <w:color w:val="000000"/>
          <w:sz w:val="20"/>
        </w:rPr>
        <w:t>Operating and Financial Review and Prospects</w:t>
      </w:r>
      <w:r>
        <w:rPr>
          <w:rFonts w:ascii="Times New Roman" w:hAnsi="Times New Roman"/>
          <w:color w:val="000000"/>
          <w:sz w:val="20"/>
        </w:rPr>
        <w:t>” in this Annual Report.</w:t>
      </w:r>
    </w:p>
    <w:p>
      <w:pPr>
        <w:pStyle w:val="TextBody"/>
        <w:bidi w:val="0"/>
        <w:spacing w:before="360" w:after="283"/>
        <w:jc w:val="center"/>
        <w:rPr>
          <w:rFonts w:ascii="Times New Roman" w:hAnsi="Times New Roman"/>
          <w:b/>
          <w:color w:val="000000"/>
          <w:sz w:val="20"/>
        </w:rPr>
      </w:pPr>
      <w:bookmarkStart w:id="5" w:name="trademarks_trade_names_service_marks"/>
      <w:bookmarkEnd w:id="5"/>
      <w:r>
        <w:rPr>
          <w:rFonts w:ascii="Times New Roman" w:hAnsi="Times New Roman"/>
          <w:b/>
          <w:color w:val="000000"/>
          <w:sz w:val="20"/>
        </w:rPr>
        <w:t>TRADEMARKS, TRADE NAMES AND SERVICE 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document contains references to trademarks, trade names and service marks belonging to other entities. Solely for convenience, trademarks, trade names and service marks referred to in this Annual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6" w:name="cautionary_statement_regarding_forwa_sta"/>
      <w:bookmarkEnd w:id="6"/>
      <w:r>
        <w:rPr>
          <w:rFonts w:ascii="Times New Roman" w:hAnsi="Times New Roman"/>
          <w:b/>
          <w:color w:val="000000"/>
          <w:sz w:val="20"/>
        </w:rPr>
        <w:t>CAUTIONARY STATEMENT REGARDING FORWARD-LOOKING STATEMENTS</w:t>
      </w:r>
    </w:p>
    <w:p>
      <w:pPr>
        <w:pStyle w:val="TextBody"/>
        <w:bidi w:val="0"/>
        <w:spacing w:before="240" w:after="283"/>
        <w:jc w:val="left"/>
        <w:rPr>
          <w:rFonts w:ascii="Times New Roman" w:hAnsi="Times New Roman"/>
          <w:sz w:val="20"/>
        </w:rPr>
      </w:pPr>
      <w:r>
        <w:rPr>
          <w:rFonts w:ascii="Times New Roman" w:hAnsi="Times New Roman"/>
          <w:color w:val="000000"/>
          <w:sz w:val="20"/>
        </w:rPr>
        <w:t>This Annual Report includes forward-looking statements, principally in the sections entitled Item 3.D. “</w:t>
      </w:r>
      <w:r>
        <w:rPr>
          <w:rFonts w:ascii="Times New Roman" w:hAnsi="Times New Roman"/>
          <w:i/>
          <w:color w:val="000000"/>
          <w:sz w:val="20"/>
        </w:rPr>
        <w:t>Key Information—Risk Factors</w:t>
      </w:r>
      <w:r>
        <w:rPr>
          <w:rFonts w:ascii="Times New Roman" w:hAnsi="Times New Roman"/>
          <w:color w:val="000000"/>
          <w:sz w:val="20"/>
        </w:rPr>
        <w:t>,” Item 4. “</w:t>
      </w:r>
      <w:r>
        <w:rPr>
          <w:rFonts w:ascii="Times New Roman" w:hAnsi="Times New Roman"/>
          <w:i/>
          <w:color w:val="000000"/>
          <w:sz w:val="20"/>
        </w:rPr>
        <w:t>Information on the Company</w:t>
      </w:r>
      <w:r>
        <w:rPr>
          <w:rFonts w:ascii="Times New Roman" w:hAnsi="Times New Roman"/>
          <w:color w:val="000000"/>
          <w:sz w:val="20"/>
        </w:rPr>
        <w:t>,” and Item 5. “</w:t>
      </w:r>
      <w:r>
        <w:rPr>
          <w:rFonts w:ascii="Times New Roman" w:hAnsi="Times New Roman"/>
          <w:i/>
          <w:color w:val="000000"/>
          <w:sz w:val="20"/>
        </w:rPr>
        <w:t>Operating and Financial Review and Prospects.</w:t>
      </w:r>
      <w:r>
        <w:rPr>
          <w:rFonts w:ascii="Times New Roman" w:hAnsi="Times New Roman"/>
          <w:color w:val="000000"/>
          <w:sz w:val="20"/>
        </w:rPr>
        <w:t>” In some cases, these forward-looking statements can be identified by words or phrases such as “may,” “might,” “will,” “could,” “would,” “should,” “expect,” “plan,” “anticipate,” “intend,” “seek,” “believe,” “estimate,” “predict,” “potential,” “continue,” “contemplate,” “possible” or similar words. Statements regarding our future results of operations and financial position, growth strategy and plans and objectives of management for future operations, including, among others, expansion in new and existing markets, are forward-looking statements.</w:t>
      </w:r>
    </w:p>
    <w:p>
      <w:pPr>
        <w:pStyle w:val="TextBody"/>
        <w:bidi w:val="0"/>
        <w:spacing w:before="240" w:after="283"/>
        <w:jc w:val="left"/>
        <w:rPr>
          <w:rFonts w:ascii="Times New Roman" w:hAnsi="Times New Roman"/>
          <w:sz w:val="20"/>
        </w:rPr>
      </w:pPr>
      <w:r>
        <w:rPr>
          <w:rFonts w:ascii="Times New Roman" w:hAnsi="Times New Roman"/>
          <w:color w:val="000000"/>
          <w:sz w:val="20"/>
        </w:rPr>
        <w:t>Our forward-looking statements are mainly based on our current expectations and estimates of future events and trends which affect or may affect our business, operations and industry. Although we believe that these forward-looking statements are based upon reasonable assumptions, they are subject to numerous risks and uncertainties, including without limitation those described under the sections in this Annual Report entitled Item 3.D. “</w:t>
      </w:r>
      <w:r>
        <w:rPr>
          <w:rFonts w:ascii="Times New Roman" w:hAnsi="Times New Roman"/>
          <w:i/>
          <w:color w:val="000000"/>
          <w:sz w:val="20"/>
        </w:rPr>
        <w:t>Key Information—Risk Factors</w:t>
      </w:r>
      <w:r>
        <w:rPr>
          <w:rFonts w:ascii="Times New Roman" w:hAnsi="Times New Roman"/>
          <w:color w:val="000000"/>
          <w:sz w:val="20"/>
        </w:rPr>
        <w:t>” and Item 5. “</w:t>
      </w:r>
      <w:r>
        <w:rPr>
          <w:rFonts w:ascii="Times New Roman" w:hAnsi="Times New Roman"/>
          <w:i/>
          <w:color w:val="000000"/>
          <w:sz w:val="20"/>
        </w:rPr>
        <w:t>Operating and Financial Review and Prospects</w:t>
      </w:r>
      <w:r>
        <w:rPr>
          <w:rFonts w:ascii="Times New Roman" w:hAnsi="Times New Roman"/>
          <w:color w:val="000000"/>
          <w:sz w:val="20"/>
        </w:rPr>
        <w:t>” and elsewhere in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forward-looking statements may be influenced by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relating to our business, operations and financial performance,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successful clinical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lack of any products approved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 for our products, and any related restrictions or limitations of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the success of vebreltinib, our most advanced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licensing of third-party intellectual property rights for future discovery and development of Apollomics’ oncology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product candidates and achieve market acceptance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dependent on certain drug candidates for which we have licenses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respond to general 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inception, and expect to incur significant losses for the foreseeable future and may not be able to achieve or sustain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require substantial additional capital to finance our operations, and if unable to raise such capital when needed or on acceptable terms, we may be forced to delay, reduce, and/or eliminate one or more of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maintain effective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the listing of the Apollomics Class A Ordinary Shares, par value $0.01 per share (the “Class A Ordinary Shares”), on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global, regional or local business, market, financial, political and legal conditions, including the development, effects and enforcement of laws and regulations and the impact of any current or new government regulations in the United States and China affecting our operations and the continued listing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retaining or recruiting, or changes required in, officers, key employees or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Assumptions regarding interest rates and 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and competitive pressures from other companies worldwide in the industries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including an ongoing claim by one investment manager for two minority investors in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adequately protect our intellectual property rights;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Other matters described in the section entitled Item 3.D. “</w:t>
      </w:r>
      <w:r>
        <w:rPr>
          <w:rFonts w:ascii="Times New Roman" w:hAnsi="Times New Roman"/>
          <w:i/>
          <w:color w:val="000000"/>
          <w:sz w:val="20"/>
        </w:rPr>
        <w:t>Key Information—Risk Factors</w:t>
      </w:r>
      <w:r>
        <w:rPr>
          <w:color w:val="000000"/>
        </w:rPr>
        <w:t xml:space="preserve">” </w:t>
      </w:r>
      <w:r>
        <w:rPr>
          <w:rFonts w:ascii="Times New Roman" w:hAnsi="Times New Roman"/>
          <w:color w:val="000000"/>
          <w:sz w:val="20"/>
        </w:rPr>
        <w:t>beginning on page 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important factors, in addition to the factors described above and in other sections of this Annual Report,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forward-looking statements.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contained in this Annual Report speak only as of the date of this Annual Report. Except as required by applicable law, we undertake no obligation to publicly update or revise any forward-looking statements whether as a result of new information, future events or otherwise, or to reflect the occurrence of unanticipated events.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7" w:name="part_i"/>
      <w:bookmarkEnd w:id="7"/>
      <w:r>
        <w:rPr>
          <w:rFonts w:ascii="Times New Roman" w:hAnsi="Times New Roman"/>
          <w:b/>
          <w:color w:val="000000"/>
          <w:sz w:val="20"/>
        </w:rPr>
        <w:t>PART I</w:t>
      </w:r>
    </w:p>
    <w:p>
      <w:pPr>
        <w:pStyle w:val="TextBody"/>
        <w:bidi w:val="0"/>
        <w:spacing w:before="360" w:after="283"/>
        <w:jc w:val="left"/>
        <w:rPr>
          <w:rFonts w:ascii="Times New Roman" w:hAnsi="Times New Roman"/>
          <w:b/>
          <w:color w:val="000000"/>
          <w:sz w:val="20"/>
        </w:rPr>
      </w:pPr>
      <w:bookmarkStart w:id="8" w:name="item_1"/>
      <w:bookmarkEnd w:id="8"/>
      <w:r>
        <w:rPr>
          <w:rFonts w:ascii="Times New Roman" w:hAnsi="Times New Roman"/>
          <w:b/>
          <w:color w:val="000000"/>
          <w:sz w:val="20"/>
        </w:rPr>
        <w:t>Item 1. Identity of Directors, Senior Management and Advisers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9" w:name="item_2"/>
      <w:bookmarkEnd w:id="9"/>
      <w:r>
        <w:rPr>
          <w:rFonts w:ascii="Times New Roman" w:hAnsi="Times New Roman"/>
          <w:b/>
          <w:color w:val="000000"/>
          <w:sz w:val="20"/>
        </w:rPr>
        <w:t>Item 2. Offer Statistics and Expected Timetable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0" w:name="item_3"/>
      <w:bookmarkEnd w:id="10"/>
      <w:r>
        <w:rPr>
          <w:rFonts w:ascii="Times New Roman" w:hAnsi="Times New Roman"/>
          <w:b/>
          <w:color w:val="000000"/>
          <w:sz w:val="20"/>
        </w:rPr>
        <w:t>Item 3. Key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[Reserved]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Capitalization and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Reasons for the Offer and Use of Proceeds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certain, but not all, of the risks that could adversely affect our business, operations and financial results. If any of the risks actually occur, our business could be materially impaired, the trading price of our Class A Ordinary Shares and warrants could decline, and you could lose all or part of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pre-revenue biotechnology company with a history of losses and will need additional capital to meet our operating cash requirements. We anticipate that we will continue to incur net losses and net operating cash outflows for the foreseeable future and may never achieve or maintain profitability. Financing our capital requirements may not be available on terms acceptable to us, or at all. If we are unable to obtain such financing, we may be unable to successfully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vebreltinib, our most advanced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track record in launching and marketing any commercial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our future losses is uncertain and our operating results may fluctuate significantly or may fall below the expectations of investors or securities analysts, each of which may cause our share price to fluctuate or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capital may cause dilution to our shareholders and restrict our operations, and you may incur immediate and significant dilution and may experience further dilution if we issue additional Class A Ordinary Shares or other equity securities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and those conducted by our partners may fail to adequately demonstrate the safety, efficacy and risk/benefit of any of our product candidates, including our lead product candidate, vebreltinib, which would prevent or delay development,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once approved, may fail to achieve the degree of market acceptance by physicians, patients, third-party payors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involved in claims, disputes, litigation, arbitration or other legal proceedings in the ordinary course of business, and any claims or proceedings against us could be costly and time-consuming to defend.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Reliance on Third Parties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third parties to manufacture or import our clinical and commercial drug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and our collaborators/partners to conduct our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contract research organizations, or CROs, contract manufacturing organizations, or CMOs, or other contractors or consultants fail to comply with environmental, health and safety laws and regulations, we could become subject to fines or penalties or incur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collaborations and may form or seek collaborations or strategic alliances or enter into additional licensing arrangements in the future, and we may not realize the benefits of such alliances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enter into licensing agreements with third parties to market and sell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licenses to promising oncology programs for the American, Chinese and/or European markets on desirable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Government Regulations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material aspects of the research and development (R&amp;D) and commercialization of pharmaceutical products are heavily regulated.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NMPA and other comparable regulatory authorities are lengthy, time-consuming and inherently unpredictable.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current and future clinical trials for our product candidates outside the home jurisdiction, the FDA, NMPA, EMA, and applicable foreign regulatory authorities may not accept data from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seek orphan drug designation for our product candidates, but we may be unable to obtain orphan drug designation and, even if we obtain such designation, as we have done with vebreltinib, we may not be able to realize or maintain the benefits of such designation, including potential marketing exclusivity of our product candidates, if approved.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Operations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control of currency conversion and regulations on investment in People’s Republic of China (PRC) entities by offshore holding companies may delay us from making transfers to us from our PRC subsidiaries, or additional contributions to our PRC subsidiaries, which could restrict our ability to fund and expand our business. Because some of our operations are conducted in China, our business is subject to a certain degree of complex and rapidly evolving laws and regulations there. The Chinese government may exercise significant oversight and discretion over the conduct of our business in the PRC and may intervene in or influence our operations in China at any time, which could result in a material change in our operations and/or the value of our securities, and may restrict or hinder our ability to offer securities and raise capital outside the PRC.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PRC subsidiaries may become subject to a variety of laws and regulations regarding cybersecurity and data protection in the PRC, and any failure to comply with applicable laws and regulations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partners in China may be restricted from transferring their scientific data or drug products for us to use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adversely affected by a deterioration of trade relations between the United States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political relationships among Greater China and other countries may affect our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labor laws and regulations in China may adversely affect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Intellectual Property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and maintain patent protection for our product candidates through intellectual property rights, or if the scope of such intellectual property rights obtained is not sufficiently broad, or if any patent rights that we own or in-licensed is challenged by third parties, third parties could develop and commercialize products and technologies similar or identical to ours and compete directly against us, and our ability to successfully commercialize any product or technology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enjoy only limited geographical protection with respect to certain patents and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obtaining or maintaining necessary rights for our development pipeline through acquisitions and in-licenses.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rights to develop and commercialize our product candidates are subject, in part, to the terms and conditions of licenses granted to us by others. If we fail to comply with our obligations in the agreements under which we license intellectual property rights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or otherwise experience disruptions to our business relationships with our licensors, we could be required to pay monetary damages or could lose license rights that are important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U.S. Federal Income Tax</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IRS may not agree that we should be treated as a non-U.S. corporation for U.S. federal income tax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were characterized as a passive foreign investment company, or “PFIC,” U.S. investors may suffer adverse U.S. federal income tax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Ownership of Our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we will be able to comply with the continued listing standards of Nasdaq or any other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securities has been and is likely to continue to be volatile, which could result in substantial losses to holders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incurring significant increased expenses and administrative burdens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auditing the consolidated financial statements for the year ended December 31, 2023, we identified one material weakness in our internal control over financial reporting as of December 31, 2023. This material weakness was remediated as of December 31, 2024. As of December 31, 2025, management completed its year-end assessment of our internal controls over financial reporting and did not identify any material weaknesses. However, we may identify additional material weaknesses in the future or otherwise fail to maintain proper and effective internal controls. The failure to implement and maintain effective internal control over financial reporting could result in material misstatements in our financial statements in the future, which could require us to restate financial statements, cause investors to lose confidence in the reported financial information and have a negative effect on the price of our Class A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comply fully with the Nasdaq listing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qualify as an “emerging growth company” and a foreign private issuer within the meaning of the Securities Act, and we take advantage of certain exemptions from disclosure requirements available to emerging growth companies and foreign private issuers, that could make our securities less attractive to investors and may make it more difficult to compare our performance to the performance of other public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the Warrants will ever be in the money and they may expire worthless.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amend the terms of the Public Warrants and Private Warrants in a manner that may be adverse to holders with the approval by the holders of at least a majority of the then outstanding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Hung-Wen (Howard) Chen, our Chief Executive Officer and the Chairman of our Board of Directors, will exert significant influence on our business and operations and may have a conflict of interest with our other shareholders.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the other information contained in this Annual Report, including the matters addressed under the heading “Cautionary Statement Regarding Forward-Looking Statements,” you should carefully consider the following risk factors before making an investment decision. The risk factors described below are not intended to be exhaustive and are not the only risks facing us. Additional risks not currently known to us or that we currently deem to be immaterial also may materially adversely affect our business, financial condition, results of operations and cash flows in future periods or are not identified because they are generally common to businesses.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occurrence of one or more of the events or circumstances described in these risk factors, alone or in combination with other events or circumstances, may have a material adverse effect on our business, financial condition, results of operations, cash flows and future prospects, in which event the market price of our securities could decline, and you could lose part or all of your investment.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 pre-revenue biotechnology company with a history of losses and will need additional capital to meet our operating cash requirements. We anticipate that we will continue to incur net losses and net operating cash outflows for the foreseeable future and may never achieve or maintain profitability. Financing our capital requirements may not be available on terms acceptable to us, or at all. If we are unable to obtain such financing, we may be unable to successfully develop, manufacture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pre-revenue biotechnology company and our future profitability is dependent on the development of our pipeline products. Investment in pharmaceutical drug development is highly speculative, as it entails substantial upfront capital expenditures and significant risk that a product candidate will fail to gain regulatory approval or become commercially viable. We continue to incur significant expenses related to our ongoing operations and drug development. We have incurred losses in each period since our inception. Our product candidates will require completion of their clinical development, regulatory review, significant marketing efforts and substantial investment before they can provide us with product sales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inception. For the year ended December 31, 2025 we had net losses of $10.9 million and we used $10.4 million in net cash for operating activities. Substantially all of our cash expenditures have resulted from costs incurred in connection with our research and development (“R&amp;D”) programs and administrative expenses associated with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Beginning in early 2024, we implemented cost reduction initiatives, including prioritizing the development of vebreltinib and uproleselan, as well as reducing other operating expenses through further pipeline prioritization and reductions in executive and non-executive employees. In May 2024, GlycoMimetics, our licensor of uproleselan in China, announced negative results from its pivotal Phase 3 study of uproleselan in relapsed or refractory acute myeloid leukemia. As positive results from the GlycoMimetics global study were likely necessary for approval of uproleselan in China for this indication, the Company has decided to close its own Phase 3 bridging study of uproleselan in China early and unblind after treatment for all patients is completed. As a result of these negative Phase 3 results from GlycoMimetics, the Company determined the recoverable amount was lower than the carrying value of the intangible asset and recorded an impairment loss of $10.0 million to write down the full value of our intangible asset for this program.</w:t>
      </w:r>
    </w:p>
    <w:p>
      <w:pPr>
        <w:pStyle w:val="TextBody"/>
        <w:bidi w:val="0"/>
        <w:spacing w:before="240" w:after="283"/>
        <w:jc w:val="left"/>
        <w:rPr>
          <w:rFonts w:ascii="Times New Roman" w:hAnsi="Times New Roman"/>
          <w:sz w:val="20"/>
        </w:rPr>
      </w:pPr>
      <w:r>
        <w:rPr>
          <w:rFonts w:ascii="Times New Roman" w:hAnsi="Times New Roman"/>
          <w:color w:val="000000"/>
          <w:sz w:val="20"/>
        </w:rPr>
        <w:t>Based upon our evaluation of our operating plan, even after factoring in the expected receipt of the $2.3 million outstanding receivable balance of the upfront payment from LaunXP International (“LaunXP”) (as described in Item 4.B. “</w:t>
      </w:r>
      <w:r>
        <w:rPr>
          <w:rFonts w:ascii="Times New Roman" w:hAnsi="Times New Roman"/>
          <w:i/>
          <w:color w:val="000000"/>
          <w:sz w:val="20"/>
        </w:rPr>
        <w:t>Business Overview—Licensing and Collaboration Arrangements—LaunXP</w:t>
      </w:r>
      <w:r>
        <w:rPr>
          <w:rFonts w:ascii="Times New Roman" w:hAnsi="Times New Roman"/>
          <w:color w:val="000000"/>
          <w:sz w:val="20"/>
        </w:rPr>
        <w:t xml:space="preserve">”), and our balance of cash and cash equivalents of $3.3 million as of December 31, 2025, our existing cash resources are not sufficient to meet our obligations as they come due within the assessment period through April 30, 2027. Subsequent to year-end, our liquidity was further supported by a $2.0 million unsecured convertible bridge loan provided by our Chairman and CEO, Mr. Hung-Wen (Howard) Chen, on March 30, 2026. Furthermore, we will require additional capital, which we expect to seek through equity or debt financings or strategic partnerships; however, such financings or partnerships are not contractually committed and are subject to external factors, and there can be no assurance that such capital will be available on acceptable terms, or at all. These conditions indicate the existence of material uncertainties that may cast substantial doubt on the Company’s ability to continue as a going concern.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Notwithstanding these material uncertainties, the accompanying financial statements have been prepared on a going concern basis of accounting and do not include any adjustments to the carrying amounts and classification of assets and liabilities that may be necessary in the event that the Company is no longer able to continue its operations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net losses for the foreseeable future, and these losses may increase as we continue the development of, and potentially seek regulatory approvals for, our product candidates; retain current and/or hire additional personnel to support our business; obtain, maintain, expand and protect our intellectual property portfolio; and seek to identify and in-license or otherwise acquire additional product candidates, intellectual property assets and technologies. Typically, it takes many years to develop one new drug from the drug discovery stage to when it is available for treating patients. In addition, we will continue to incur costs associated with operating as a public company and in support of our growth as a development-stage or commercial-stage biotech company. The size of our future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losses will depend, in part, on the number and scope of our drug development programs and the associated costs of those programs, the cost of commercializing any approved products, our ability to generate revenues and the timing and amount of milestone payments we make or receive with or through arrangements with third parties. If any of our product candidates fails in clinical trials or does not gain regulatory approval, or, if approved, fails to achieve market acceptance, we may not become profitable. Even if we achieve profitability in the future, we may not be able to sustain profitability in subsequent periods. Our prior losses and expected future losses have had, and will continue to have, an adverse effect on our working capital and shareholders’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substantially dependent on the success of vebreltinib, our most advanced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substantially dependent on the success of vebreltinib, our most advanced product candidate. We believe that additional clinical data will be required for regulatory approval for vebreltinib from the FDA and our business currently depends heavily on its successful development. Vebreltinib will require additional clinical development, evaluation of clinical, preclinical and manufacturing activities, marketing approval in one or more territories, and substantial commercial investment and significant marketing efforts before we generate any revenues from product sales. If we are unable to obtain approval for and commercialize vebreltinib, or experience significant delays in doing so, our business will be materially harmed. Our business depends on the successful development and commercialization of our product candidates. We currently have no drugs approved for sale and generate no revenues from sales of any products, and we may never be able to develop a marketable product.</w:t>
      </w:r>
    </w:p>
    <w:p>
      <w:pPr>
        <w:pStyle w:val="TextBody"/>
        <w:bidi w:val="0"/>
        <w:spacing w:before="240" w:after="283"/>
        <w:jc w:val="left"/>
        <w:rPr>
          <w:rFonts w:ascii="Times New Roman" w:hAnsi="Times New Roman"/>
          <w:sz w:val="20"/>
        </w:rPr>
      </w:pPr>
      <w:r>
        <w:rPr>
          <w:rFonts w:ascii="Times New Roman" w:hAnsi="Times New Roman"/>
          <w:color w:val="000000"/>
          <w:sz w:val="20"/>
        </w:rPr>
        <w:t>Should we determine that there is not a viable path for us to pursue regulatory approval of vebreltinib, we may choose to outlicense development and commercial rights in some or all of our territory. For example, we recently entered into a collaboration agreement with LaunXP for the development and commercialization of vebreltinib in Asia (excluding mainland China, Hong Kong and Macau), as described in Item 4.B. “</w:t>
      </w:r>
      <w:r>
        <w:rPr>
          <w:rFonts w:ascii="Times New Roman" w:hAnsi="Times New Roman"/>
          <w:i/>
          <w:color w:val="000000"/>
          <w:sz w:val="20"/>
        </w:rPr>
        <w:t>Business Overview—Licensing and Collaboration Arrangements—LaunXP</w:t>
      </w:r>
      <w:r>
        <w:rPr>
          <w:rFonts w:ascii="Times New Roman" w:hAnsi="Times New Roman"/>
          <w:color w:val="000000"/>
          <w:sz w:val="20"/>
        </w:rPr>
        <w:t xml:space="preserve">”. If LaunXP is not successful in developing additional clinical data demonstrating the benefit of the combination of vebreltinib with an EGFR inhibitor, the development of vebreltinib may be delayed. In addition, if LaunXP does not achieve future milestones which would result in additional payments to us, we would not receive the benefit of such payments, and our business would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guarantee that any future outlicensing transaction will be available on attractive terms, or at all. If we are not successful in developing vebreltinib through regulatory approval, or achieving an out-licensing transaction on attractive terms, our business will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limited operating history, which may make it difficult to evaluate our current business and predict our future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development-stage biotechnology company founded in May 2015. Our operations to date have focused on business planning, raising capital, establishing our intellectual property portfolio, drug discovery and conducting preclinical studies and clinical trials of our product candidates. We do not have any developed products approved for commercial sale and have not generated any revenue from developed product sales. Our limited operating history, particularly in light of the rapidly evolving pharmaceutical industry, may make it difficult to evaluate our current business and reliably predict our future performance. We may encounter unforeseen expenses, difficulties, complications, delays and other known and unknown factors. If we do not address these risks and difficulties successfully, they could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no track record in launching and marketing any commercial products. If we are unable to develop marketing and sales capabilities or enter into agreements with third parties to market and sell our product candidates, we may not be able to generate product sales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collaboration relationships with several biotechnology companies, and it is our plan to launch and market product candidates with our partners. However, we have yet to demonstrate our capability to launch and commercialize any of our product candidates on our own. As a result, our ability to successfully commercialize our product candidates may depend on our collaboration relationships with partners. If we are to launch and commercialize any of our product candidates on our own, it may take longer and cost more than it would if we were to launch it with our partnering company, who has experience launching and marketing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either develop internal sales, marketing and commercial distribution capabilities for any or all of our product candidates or pursue collaboration or partnership arrangements regarding the sales and marketing of our product candidates. However, there can be no assurance that we will be able to establish or maintain such collaboration or partnership arrangements, or if we are able to do so, that they will have effective sales forces. If we pursue our own sales, marketing and distribution capabilities, we will have to compete with other pharmaceutical and biopharmaceutical companies to recruit, hire, train and retain marketing and sales personnel. In addition, if we commercialize our product candidates, if approved, via such collaboration or partnership arrangements, revenue we receive from the sale of our products will depend upon the efforts of such third parties.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we will be able to further develop and successfully maintain in-house sales and commercial distribution capabilities or establish or maintain relationships with third-party collaboration partners to successfully commercialize any product,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generate product sales revenue, which would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amount of our future losses is uncertain and our operating results may fluctuate significantly or may fall below the expectations of investors or securities analysts, each of which may cause our share price to fluctuate or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results may fluctuate significantly in the future due to a variety of factors, many of which are outside of our control and may be difficult to predict,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and success or failure of clinical trials for our product candidates or competing product candidates, or any other change in the competitive landscape of our industry;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recruit and retain patients for clinical trials, and any delays caused by difficulties in such efforts;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approval from relevant authorities for development and commercialization of our product candidates, and the timing and scope of any such approvals we may receive;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the cost of, and level of investment in, R&amp;D activities relating to our product candidates, which may change from time to time;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of manufacturing our product candidates, which may vary depending on the quantity of production and the terms of our agreements with manufacturers;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attract, hire and retain qualified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expenditures that we will or may incur to develop additional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level of demand for our product candidates should they receive approval, which may vary significantly;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general market conditions or extraordinary external events, such as a recession;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changing and volatile United States and global economic and political environments;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cumulative effects of these factors could result in large fluctuations and unpredictability in our operating results. As a result, comparing our operating results on a period-to-period basis may not be meaningful. This variability and unpredictability could also result in our failing to meet the expectations of securities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Class A Ordinary Shares could decline substantially. Such a decline in the price of our Class A Ordinary Shares could occur even when we have met any previously publicly stated guidance we may provide.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need to raise additional capital which will likely result in dilution to our shareholders and may restrict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need to raise additional capital to fund our operations, including through the sale of our securities. We may issue additional Class A Ordinary Shares or other equity or equity-linked securities of equal or senior rank in the future in connection with, among other things, financings, future acquisitions, repayment of outstanding indebtedness, employee benefit plans and exercises of outstanding options, warrants and other convertible securities, in a number of circumstances. For example, in September 2025, the Company issued an aggregate of 1.04 million Class A Ordinary Shares in a private placement, par value $0.01 per share, of the Company (the “PIPE Shares”), at a price per share of $3.9317 (the closing price on August 29, 2025), representing aggregate gross proceeds to the company of $4.1 million, prior to the payment of fees and expenses. More recently, in March 2026, we issued to Mr. Hung-Wen (Howard) Chen, the Company’s Chairman and Chief Executive Officer, a Convertible Promissory Note for a principal amount of $2.0 million. The principal amount will automatically convert into equity securities of the Company upon the closing of the Company’s next equity financing that raises aggregate gross proceeds of not less than $10,000,000 (the “Next Equity Financing”). Upon such conversion, the conversion price will be equal to 80% of the lowest per-share purchase price paid by investors in the Next Equity Financing. If the Note is not converted prior to the eighteen-month anniversary of its issuance (the “Maturity Date”), the Holder may elect to convert the Note into Class A ordinary shares of the Company based on the average closing price of the shares for the ten trading days immediately preceding the Maturity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issuance of additional Class A Ordinary Shares or other equity or equity-linked securities of equal or senior rank could have the following effects: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proportionate ownership interest of each previously outstanding Class A Ordinary Share may decrease;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of cash available per share, including for payment of dividends (if any) in the future, may decrease;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relative voting strength of each previously outstanding Class A Ordinary Share may be diminished.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terms of any securities may include liquidation or other preferences that adversely affect your rights as a holder of our Class A Ordinary Shares. The incurrence of additional indebtedness or the issuance of certain equity securities could give rise to increased fixed payment obligations and could also result in certain additional restrictive covenants, such as limitations on our ability to incur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debt or issue additional equity, limitations on our ability to acquire or license intellectual property rights and other operating restrictions that could adversely impact our ability to conduct our business. In addition, the issuance of additional equity securities, or the possibility of such issuance, may cause the market price of our Class A Ordinary Shares to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we enter into collaborations or licensing arrangements in order to raise capital, we may be required to accept less favorable terms, including relinquishing or licensing to a third party on less favorable terms our rights to technologies or product candidates that we otherwise would seek to develop or commercialize ourselves or potentially reserve for future potential arrangements when we might be able to achieve more favorable terms.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engage in acquisitions or strategic partnerships, this may increase our capital requirements, dilute our shareholders,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evaluate various acquisitions and strategic partnerships, including licensing or acquiring complementary products, intellectual property rights, technologies or businesses, from time to time. Any potential acquisition or strategic partnership may entail numerous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assumption of additional indebtedness or contingent or unforeseen liabilities;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assimilation of operations, intellectual property rights and products of an acquired company, including difficulties associated with integrating new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drugs or product candidates and regulatory approvals;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diversion of our management’s attention from our existing product programs and initiatives in pursuing such a strategic merger or acquisition;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transactions can also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in-license agreements or strategic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or such other benefits that led us to enter into the arrangement.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clinical trials and those conducted by our partners may fail to adequately demonstrate the safety, efficacy and risk/benefit of any of our product candidates, including our lead product candidate, vebreltinib, which would prevent or delay development, regulatory approval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Clinical testing is expensive and can take many years to complete and its outcome is inherently uncertain. Failure can occur at any time during the preclinical study, investigational new drug applications and/or clinical trial processes, and, because our product candidates are in early stages of development, there is a high risk of failure and we may never succeed in developing marketable products. We cannot be certain of the timely completion or outcome of our preclinical testing and studies and cannot predict if the U.S. Food and Drug Administration (the “FDA”) or other relevant regulatory authorities will accept our proposed clinical programs or if the outcome of our preclinical testing and studies ultimately will support the further development of our programs. Even if we start clinical trials, we are unable to predict when or if any of our product candidates will prove effective or safe in humans or will receive marketing approval. Before obtaining marketing approval from regulatory authorities for the commercialization of any product candidate, we must conduct extensive clinical trials to demonstrate the safety and efficacy of our product candidates in humans.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our ability to receive marketing approval or commercialize our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delays in reaching, or may fail to reach, a consensus with regulators on trial design;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 including as a result of delays in the testing, validation, manufacturing and delivery of product candidates to the clinical sites by us or by third parties with whom we have contracted to perform certain of those functions;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experience delays in reaching, or may fail to reach, agreement on acceptable clinical trial contracts or clinical trial protocols with prospective trial sites;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regulators or institutional review boards may not authorize us or our investigators to commence a clinical trial or conduct a clinical trial at a prospective trial site;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experience difficulty in designing clinical trials and in selecting endpoints for diseases that have not been well-studied and for which the natural history and course of the disease is poorly understood;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preclinical and clinical testing may generate imprecise data and the results can be interpreted in different ways;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selection of certain clinical endpoints may require prolonged periods of clinical observation or analysis of the resulting data;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experience difficulties in successfully enrolling subjects in the clinical trials, for example, 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regulators or institutional review boards may require that we or our investigators suspend or terminate clinical trials for various reasons, including non-compliance with regulatory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regulators may not accept data from our clinical trials completed in foreign jurisdictions if we do not satisfy certain regulatory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or may fail to demonstrate superiority versus the standard of care, and we may decide, or regulators may require us, to expand current clinical studies, or to conduct additional clinical trials or abandon product development programs;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May 2024, GlycoMimetics, our licensor of uproleselan in China announced negative results from its pivotal Phase 3 study of uproleselan in relapsed or refractory acute myeloid leukemia. As positive results from the GlycoMimetics global study were likely necessary for approval of uproleselan in China for this indication, the Company decided to close its own Phase 3 study of uproleselan early and unblind after treatment for all patients is completed.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clinical trials have primarily been conducted in the United States, Europe, China and Australia. The FDA’s acceptance of data from clinical trials outside of the United States and not under a U.S. IND is subject to certain regulatory conditions, including that the clinical trial must be well designed and well controlled, as well as conducted in accordance with GCP. The FDA must also be able to validate the data from any foreign study through an on-site inspection if the agency deems it necessary. An application based solely on foreign clinical data may be approved by the FDA if: (1) the foreign data are applicable to the U.S. population and U.S. medical practice; (2) the studies have been performed by clinical investigators of recognized competence; and (3) the data may be considered valid without the need for an on-site inspection by the FDA or, if the FDA considers such an inspection to be necessary, the FDA is able to validate the data through an on-site inspection or other appropriate means. Failure of an application to meet any of these criteria will result in the application not being approvable by the FDA based on the foreign data alone. The FDA applies this policy in a flexible manner according to the nature of the drug and the data being considered. For example, in 2022, the FDA declined to approve sintilimab for non-small cell lung cancer (“NSCLC”), in part, because pivotal data were exclusively collected in China. The FDA expressed concerns with clinical data collected from a single country outside of the United States due to lack of diversity, differences in standard of care between the United States and China and a perceived higher incidence of data integrity issues identified in clinical studies in China. If the FDA or comparable regulatory authorities do not accept earlier preclinical or clinical data, we may need to conduct additional preclinical studies or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testing of our product candidates beyond those that we currently contemplate, if we are unable to successfully complete clinical trials of our product candidates or other testing, if the results of these trials or testing are not positive or are only modestly positive or if there are safety, potency or efficacy concerns, we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 subject to additional post-marketing testing requirements or changes in the way the product is administered;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development costs also will increase if we experience delays in preclinical studies or clinical trials or in obtaining institutional review board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to bring products to market before we do and impair our ability to successfully commercialize our product candidates, which may harm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clinical trials that we or our development partner(s) may conduct may not demonstrate the safety, potency and efficacy necessary to obtain regulatory approval to market our product candidates. If the results of our ongoing or future preclinical studies and clinical trials are inconclusive or inconsistent with respect to the safety, bioavailability, potency and efficacy of our product candidates, if we do not meet the clinical endpoints with statistical and clinically meaningful significance, if the drugs manufactured for clinical testing or for commercialization do not meet the approval requirements of the development program of our product candidates, or if there are safety, potency or efficacy concerns associated with our product candidates, we may be prevented from or delayed in obtaining marketing approval for such product candidates. In some instances, there can be significant variability in safety, bioavailability, potency or efficacy results between different preclinical studies and clinical trials of the same product candidate due to numerous factors, including changes in manufacturing, trial procedures set forth in protocols, differences in the size and type of the patient populations, changes in and adherence to the clinical trial protocols, and the rate of enrollment and/or dropout among clinical trial participants. If unacceptable side effects arise in the development of our product candidates, we, the FDA or comparable regulatory authorities, the Institutional Review Boards (the “IRBs”), data and safety monitory boards or independent ethics committees at the institutions in which the trials on our product candidates are conducted could suspend or terminate our preclinical studies or clinical trials or the FDA or comparable regulatory authorities could order us to cease preclinical studies or clinical trials or deny approval of our product candidates for any or all indications we are pursuing.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the case with all oncology drugs, it is likely that there will be side effects associated with their use. For example, both capmatinib and tepotinib, products that have been approved for the treatment of adult patients with NSCLC harboring Met Exon 14 skipping alterations, have warnings for hepatotoxicity based on liver enzyme elevations. In our clinical trials to date of vebreltinib, we have also seen elevated liver enzymes and expect that our product would carry such a warning, if approved. Results of the trials on our product candidate(s) could reveal unacceptable side effects. In such an event of risk identification of safety risks, our trials could be revised, suspended or terminated by the health authorities, and the FDA or comparable regulatory authorities could order us to cease further development of or deny approval of our product candidates for any or all targeted indications. We will need to manage the prevalence, duration and severity of potential side effects or other safety issues experienced with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Treatment-emergent side effects that are deemed to be drug-related could also affect subject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clinical trials of our product candidates are conducted in carefully defined sets of patients who have agreed to enter into clinical trials. Consequently, it is possible that the results of clinical trials of our product candidates may indicate an apparent positive effect of a product candidate to be greater than the actual positive effect, if any, or alternatively fail to identify undesirable side effects. For example, open-label clinical trials are subject to various limitations; among others, they may not be able to identify undesirable side effects. In addition, with a limited number of patients, there may be variabilities in results, and we may fail to identify rare and severe side effects of our product candidates that may only be uncovered with a significantly larger number of patients. If such undesirable side effects caused by such product candidates (or any other similar products) are identified at a late stage of development or after marketing approval, a number of potentially significant negative consequences could result,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may withhold, withdraw or limit their approval of such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boxed warning or contraindications;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required to change the way such product candidates are distributed or administered, or change the labeling of the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FDA or a comparable regulatory authority may require a risk evaluation and mitigation strategy program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subject to regulatory investigations and government enforcement 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FDA or a comparable regulatory authority may require us to conduct additional clinical trials or costly post-marketing testing and surveillance to monitor the safety and efficacy of the product;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could be sued and held liable for injury caused to individuals exposed to or taking our product candidates;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regulatory approval or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clinical development activities could be delayed or otherwise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timely completion of clinical trials in accordance with their protocols depends on, among other things, our ability to enroll a sufficient number of patients who remain in the trial until its conclusion. We may experience difficulties in patient enrollment in our clinical trials for a variety of reasons, including the size and nature of the patient population, the patient eligibility criteria defined in the protocol, including any diagnostic or genetic testing required, the size of the study population required for analysis of the trial’s primary endpoints, the proximity of patients to trial sites and our ability to obtain and maintain patient consents. For example, in July 2024, we announced a focus for future vebreltinib clinical development on NSCLC patients with Met amplification, which is confirmed by a genetic test which is not part of the standard genetic testing done for this patient population. As of March 31, 2026, in part due to the requirements for non-standard testing, we have enrolled only six patients in this cohort in the last nine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enrollment challenges, combined with a broader review of our clinical data and regulatory feedback, led our Board of Directors to determine in May 2025 that the current data package was insufficient to support a New Drug Application (NDA) for the treatment of NSCLC with MET exon 14 skipping. Consequently, we have indefinitely deferred the U.S. NDA filing for vebreltinib and implemented a strategic pivot to narrow our development focus.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clinical trials may compete with other clinical trials for product candidates that are in the same therapeutic areas as our product candidates, and this competition will reduce the number and types of patients available to us. Even if we are able to enroll a sufficient number of patients in our clinical trials, delays in patient enrollment and the resulting deferral of regulatory submissions may result in increased costs or may affect the timing or outcome of the planned clinical trials. This deferral not only delays potential revenue generation but also increases the risk of asset impairment. Any failure to eventually obtain regulatory approval for vebreltinib in the U.S. or other major markets will materially and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successfully validate, develop and obtain regulatory approval for companion diagnostic tests for our product candidates that are required or experience significant delays in doing so, we may not realize the full commercial potential of these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one of the key elements of our clinical development strategy, we seek to identify patient subsets within a disease category who may derive selective and meaningful benefit from the product candidates we are developing.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example, in connection with the clinical development of vebreltinib, we entered into a collaboration with Caris to develop an </w:t>
      </w:r>
      <w:r>
        <w:rPr>
          <w:rFonts w:ascii="Times New Roman" w:hAnsi="Times New Roman"/>
          <w:i/>
          <w:color w:val="000000"/>
          <w:sz w:val="20"/>
        </w:rPr>
        <w:t xml:space="preserve">in vitro </w:t>
      </w:r>
      <w:r>
        <w:rPr>
          <w:rFonts w:ascii="Times New Roman" w:hAnsi="Times New Roman"/>
          <w:color w:val="000000"/>
          <w:sz w:val="20"/>
        </w:rPr>
        <w:t xml:space="preserve">companion diagnostic test to detect MET alterations. Such companion diagnostics would be used during our clinical trials as well as in connection with the regulatory approval of vebreltinib. To be successful, we or our collaborator will need to address a number of scientific, technical, regulatory and logistical challenges. The FDA and comparable regulatory authorities regulate </w:t>
      </w:r>
      <w:r>
        <w:rPr>
          <w:rFonts w:ascii="Times New Roman" w:hAnsi="Times New Roman"/>
          <w:i/>
          <w:color w:val="000000"/>
          <w:sz w:val="20"/>
        </w:rPr>
        <w:t xml:space="preserve">in vitro </w:t>
      </w:r>
      <w:r>
        <w:rPr>
          <w:rFonts w:ascii="Times New Roman" w:hAnsi="Times New Roman"/>
          <w:color w:val="000000"/>
          <w:sz w:val="20"/>
        </w:rPr>
        <w:t>companion diagnostics as medical devices and, under that regulatory framework, will require the test to be analytically and clinically validated and used for patient selection in the clinical trial, which will require separate regulatory clearance, authorization or approval prior to commercialization if not already cleared, authorized or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rely on third parties for the design, development and manufacture of companion diagnostic tests for vebreltinib and other product candidates that may require such tests. We will be dependent on the sustained cooperation and effort of our future collaborators in developing and obtaining approval for these companion diagnostics and in ensuring the post-market compliance of these companion diagnostics after their regulatory clearance, authorization or approval. Post-market obligations include, among others, ongoing product quality assurance, recordkeeping, complaint handling, adverse event reporting and product promotion. It may be necessary to resolve issues such as sensitivity/specificity,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current and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authorization or approval, production of sufficient quantities at commercial scale and with appropriate quality standards, and in gaining market acceptance. If we are unable to successfully develop companion diagnostics for these product candidates, or experience delays in doing so, the development of these therapeutic product candidates may be adversely affected, these therapeutic product candidates may not obtain marketing approval, and we may not realize the full commercial potential of any of these therapeutics that obtain marketing approval. As a result, our business, results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safety, efficacy, or other issues arise with any medical product that is used in combination with our product candidates, we may be unable to market such product candidate or may experience significant regulatory delays.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strategy to develop combination therapies depends on the safety and efficacy of each component drug within each combination therapy. If the FDA or comparable regulatory authority revokes its approval of another therapeutic product we use in combination with our product candidates, we will not be able to market our product candidates in combination with such revoked therapeutic product. In addition, it can be difficult to attribute a safety issue in a clinical trial or commercial product to any single component of a combination therapy. If safety or efficacy issues arise with these or other therapeutics that we seek to combine with our product candidates in the future, we may experience significant development or regulatory delays, and we may be required to redesign or terminate the applicable clinical trials, or withdraw a drug from the market. Also, if manufacturing or other issues result in a supply shortage of any component of our combination product candidates or if we cannot secure supply of any component of our product candidates at commercially reasonable or acceptable prices, we may not be able to complete clinical development of our product candidates on our current timeline or within our current budget, or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developing some of our product candidates for use in combination with standard-of-care, as well as emerging or experimental cancer therapies, which exposes us to several risks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some of our product candidates for use in combination with current standard of care or other emerging or experimental cancer therapies. This exposes us to supply risk to the extent there is not an adequate supply of these therapies for use in combination with our product candidates, either in clinical trials or after any approval, as well as pricing risk if these combination therapies are expensive and the addition of our product candidates would be too costly to support reimbursement or payor coverage. In addition, if the standard of care were to evolve or change, the clinical utility of our product candidates could be diminished or eliminated. If any of these were to occur, our business could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Adverse drug reactions and negative results from off-label use of our products could materially harm our business reputation, product brand name, financial condition and expose us to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Products distributed or sold in the pharmaceutical market may be subject to off-label drug use. Off-label drug use is prescribing a product for an indication, population, dosage or in a dosage form that is not in accordance with regulatory approved usage and labeling. Even though the FDA and other comparable regulatory authorities actively enforce the laws and regulations prohibiting the promotion of off-label use, there remains the risk that our product is subject to off-label drug use and is prescribed in a patient population, dosage or dosage form that has not been approved by competent authorities. This occurrence may render our products less effective or entirely ineffective and may cause adverse drug reactions. Any of these occurrences can create negative publicity and significantly harm our business reputation, product brand name, commercial operations and financial condition. These occurrences may also expose us to liability and cause, or lead to, a delay in the progress of our clinical trials and may also ultimately result in failure to obtain regulatory approval for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or preliminary data from our clinical trials that we announce or publish may change as new, incremental or updated patient data becomes available, and is subject to source verification and validation procedures that could result in material changes in the final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more patient data becomes available, we may publicly disclose new or updated data from our clinical trials, which may differ from earlier disclosed preliminary data. These updates are based on analyses of then-available data, and the results and related findings and conclusions are subject to change following a more comprehensive review of the data related to the particular study or trial. We may also present only certain endpoints rather than all endpoints and make assumptions, estimations, calculations and conclusions as part of our analyses of data, and we may not have received or had the opportunity to fully and carefully evaluate all data. As a result, the summary or preliminary results that we report may differ from future results of the same studies, or different conclusions or considerations may qualify such results, once additional data have been received and fully evaluated. Summary or preliminary data also remain subject to source verification procedures that may result in the final data being materially different from the summary or preliminary data we previously disclosed or published. As a result, summary or preliminary data should be viewed with caution until the final data are available. In addition, we may report prespecified interim analyses of our data, and the results of more patients in the same studies may differ from those of the initial study participants early in the studies. Preliminary data from clinical trials that we conduct may not be indicative of the final results of the trials and are subject to the risk that one or more of the clinical outcomes may materially change as patient enrollment continues and more patient data become available. Adverse changes between preliminary data and final data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significantly harm our business and prospects. Further, additional disclosure of preliminary data by us or by our competitors in the future could result in volatility in the price of our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Interested parties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summary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use in combination with other therapies, and the rate of discontinuations by clinical trial participants. In addition, we may use patient-reported outcome assessments in some of our clinical trials, which involve patients’ subjective assessments of efficacy of the treatments they receive in the trial. Such assessments can vary widely from day to day for a particular patient, and from patient to patient and site to site within a clinical trial. This subjectivity can increase the uncertainty of, and adversely impact, our clinical trial outcomes.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limited experience in submission of marketing applications for regulatory approval to the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product candidate for a target indication, we must demonstrate in preclinical studies and well-controlled clinical trials, and, with respect to approval in the United States, to the satisfaction of the FDA, that the product candidate is safe and effective for use for that target indication and that the manufacturing facilities, processes and controls are adequate. In addition to preclinical and clinical data, the marketing application must include significant information regarding the chemistry, manufacturing and controls for the product candidate. Obtaining approval of a marketing application is a lengthy, expensive and uncertain process, and approval may not be obtained. If we submit a marketing application to the FDA, the FDA decides whether to accept or reject the submission for filing. We cannot be certain that any submissions will be accepted for filing and review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limited experience in submission of marketing applications for regulatory approval for our product candidates, and we have not yet demonstrated ability to receive regulatory approval for our product candidates. So far, we have not independently submitted a marketing application. As a result, our ability to successfully submit any marketing application and obtain regulatory approval for our product candidates may involve more inherent risk, take longer, and cost more than it would if we were a company with experience in obtaining regulatory approvals.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to develop, obtain regulatory approval for and commercialize product candidates is long, complex and costly both inside and outside the United States and China, and approval is never guaranteed. Following any approval for commercial sale of our product candidates, certain changes to the drug, such as changes in manufacturing processes and additional labeling claims, may be subject to additional review and approval by the FDA and comparable regulatory authorities. Also, regulatory approval for any of our product candidates may be withdrawn. If we are unable to obtain regulatory approval for our product candidates in one or more jurisdictions, or any approval contains significant limitations, our target market will be reduced and our ability to realize the full market potential of our product candidates will be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 candidates, once approved, may fail to achieve the degree of market acceptance by physicians, patients, third-party payors and others in the medical community necessary for commercial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receive regulatory approvals for our product candidates, they may fail to gain sufficient market acceptance by physicians, patients, third-party payors and others in the medical community. For example, current cancer treatments like chemotherapy and radiation therapy are well established in the medical community, and doctors may continue to rely on these treatments to the exclusion of our product candidates that are in clinical trials for the same or similar cancer indications. In addition, physicians, patients and third-party payors may prefer other products to ours. If our product candidates do not achieve an adequate level of acceptance, we may not generate significant product sales revenues and we may not become profitable. The degree of market acceptance of our product candidates, even if approved for commercial sale, will depend on a number of factors,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indications for which our product candidates are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views of physicians, hospitals, cancer treatment centers and patients considering our product candidates as a safe and effective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of market introduction of our product candidates as well as competitive drugs and generics;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prevalence and severity of any side effects for our product candidates compared to the prevalence and severity of any side effects for conventional products and other cell therapies;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 labeling or product insert requirements of regulatory authorities;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or warnings contained in the labeling approved by regulatory authorities;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availability of adequate coverage, reimbursement and pricing by third-party payors and government authorities;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reimbursement by third-party payors and government authorities;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effectiveness of our sales and marketing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approved but fail to achieve market acceptance among physicians, patients, hospitals, cancer treatment centers or others in the medical community, we will not be able to generate significant revenue. Even if our future approved product candidates achieve market acceptance, we may not be able to maintain such market acceptance over time if novel products or technologies are introduced that are more favorably received than our product candidates, are more cost-effective or render our product candidates obsolete. Our failure to achieve or maintain market acceptance for our future approved product candidates would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opportunities for any current or future product candidate we develop, if and when approved, may be limited to those patients who are ineligible for established therapies or for whom prior therapies have failed, and may be small.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Cancer therapies are sometimes characterized as first-line, second-line or third-line, and many new therapies are initially approved only for third-line use. Second-and third-line therapies are administered to patients when prior therapy is not effective. We expect to initially seek approval of our oncology product candidates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first-or second-line therapy.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any product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fail to obtain and maintain required approvals, our ability to realize the full market potential of our products will be harmed.</w:t>
      </w:r>
    </w:p>
    <w:p>
      <w:pPr>
        <w:pStyle w:val="TextBody"/>
        <w:bidi w:val="0"/>
        <w:spacing w:before="240" w:after="283"/>
        <w:jc w:val="left"/>
        <w:rPr>
          <w:rFonts w:ascii="Times New Roman" w:hAnsi="Times New Roman"/>
          <w:sz w:val="20"/>
        </w:rPr>
      </w:pPr>
      <w:r>
        <w:rPr>
          <w:rFonts w:ascii="Times New Roman" w:hAnsi="Times New Roman"/>
          <w:b/>
          <w:i/>
          <w:color w:val="000000"/>
          <w:sz w:val="20"/>
        </w:rPr>
        <w:t>Material modifications and variabilities in the methods of product candidate manufacturing may result in additional costs or delay</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product candidates progress from preclinical studies to late-stage clinical trials to marketing approval and commercialization, it is common that various aspects of the development program, such as manufacturing methods, materials and processes, are altered along the way in an effort to optimize yield, manufacturing batch size, minimize costs and achieve consistent purity, identity, bioavailability, potency, quality and results. Such changes and/or variabilities over time and those between manufacturers carry the risk that they will not achieve these intended objectives. Any of the changes and variabilities in manufacturing of our product candidates, either by our contract providers or by our partners/collaborators, could cause our product candidates to perform differently than expected and could affect planned or other clinical trials conducted with product candidates produced using the various manufacturing methods, materials, and processes. This could delay completion of requisite clinical trials for NDA and/or commercialization, and could require additional chemistry, manufacturing, and controls (CMC), non-clinical or clinical studies, which could increase costs, delay approval of our product candidates and jeopardize our ability to commercialize our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substantial competition and our competitors may discover, develop or commercialize competing drugs faster or more successfully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and commercialization of new drugs is highly competitive and subject to rapid and significant technological change. We may face competition with respect to any product candidates that we seek to develop or commercialize in the future, from major pharmaceutical companies, specialty pharmaceutical companies and biotechnology companies, universities and other research institutions worldwide. There are a number of pharmaceutical and biotechnology companies that currently market and sell drugs or are pursuing the development of drugs for the treatment of indications for which we are developing our product candidates. Some of these competitive drugs and therapies are based on scientific approaches that are the same as or similar to our approach, and others are based on entirely different approaches. For example, our product candidates face competition in the United States, China and Europe from a significant number of advanced drug products (either marketed or under development) involving molecular targets (such as immune checkpoint inhibitors), disease indications (such as cancer) and mechanism of actions (such as bi-specific antibodies, combination therapies, etc.) that are similar or identical to those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R&amp;D, manufacturing, preclinical testing, conducting clinical trials, obtaining regulatory approvals and marketing approved drugs than we do. Our competitors may succeed in developing competing drugs and obtaining regulatory approvals before us or gain better acceptance for the same target markets as ours, which will undermine our competitive position. In addition, any new product that competes with an approved product must demonstrate compelling advantages in efficacy, convenience, tolerability and/or safety in order to overcome price competition and to be commercially successful. Disruptive technologies and medical breakthroughs may further intensify the competition and render our product candidates obsolete or non-competitive.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and acquisitions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on our part to successfully compete in the pharmaceutical market with respect to our products could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could be adversely affected by generic drugs and alternative cancer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face competition with respect to the introduction of generic alternatives to our product candidates. Market acceptance and sales of any of our future approved product candidates will depend significantly on the availability of adequate coverage and reimbursement from physicians, patients or third-party payors for drugs and may be affected by existing and future health care reform measures. Generic alternatives are generally not expected to have meaningful differences in efficacy or safety compared to each other. Consequently, if there are generic alternatives to our product candidates available, we would have to compete with on pricing or product quality and reliability (perceived or otherwise), which we may not be able to achieve successfully. As of the date of this Annual Report, we were not aware of any generic versions of our product candidates being marketed or under clinical trials. However, we cannot assure you that there will not be any such generic alternatives in future. As a result, assuming that we are able to obtain regulatory approvals for vebreltinib, APL-102 or other existing or any future product candidate that we may develop in the future, we cannot assure you that they will be able to achieve commercial success, whether due to established first-entrants or otherwise. This in turn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may face competition with respect to the existence or introduction of alternative cancer treatments. There may be significant advances in other oncology treatment methods, such as chemotherapy, surgery, interventional radiology, or cancer prevention techniques, which could reduce the demand for oncology monotherapies and combination therapies. Any shifts in physicians’ or patients’ preferences for other oncology therapies over oncology monotherapies and combination therapies may materially and adversely affect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key executives and to attract, train, retain and motivate senior management and qualified scientific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highly dependent on our new management team and their experience with our business and operations. In August and September 2025, we experienced a complete transition of our executive leadership and Board of Directors, including the termination of our former Chief Executive Officer and Chief Financial Officer, and the appointment of a new Chairman and Chief Executive Officer, Chief Operating Officer, and Chief Financial Officer. We also transitioned significant operational functions to Taiwan while reducing our headcount in China. Such a sweeping restructuring involves significant operational transition risks. If our new management team cannot effectively integrate and execute our clinical and corporate strategies, or if we fail to retain these key personnel, the achievement of our R&amp;D and commercialization objectives could be severely impeded. We currently do not have “key-man” insurance for any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officers or other key personnel. The loss of the services of any of these persons could impede the achievement of our R&amp;D and commercialization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Recruiting, retaining and motivating qualified management, scientific, clinical, manufacturing and sales and marketing personnel will also be critical to our success. The loss of the services of our executive officers or other key employees could impede the achievement of our research, development, manufacturing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Hiring from this limited pool is competitive and intense, and we may be unable to hire, train, retain or motivate these key personnel on acceptable terms given the competition among numerous biopharmaceutical companies for similar personnel. We also experience competition for the hiring of scientific and clinical personnel from universities and research institutions. In addition, our management will be required to devote significant time to new compliance initiatives from our status as a public company, which may require us to recruit more management personnel. Moreover, there is no assurance that we will be able to retain or motivate these key personnel on acceptable terms due to a number of reasons, including the competitiveness of our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unanticipated departure of members of the management team without appropriate replacements being found in a timely manner may have a material adverse effect on our business operations and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reputation is key to our business success. Negative publicity may adversely affect our reputation, business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negative publicity concerning us or our affiliates, even if untrue, could adversely affect our reputation and business prospects. We cannot assure you that negative publicity about us or any of our affiliates would not damage our brand image or have a material adverse effect on our business, results of operations and financial condition. Furthermore, referrals and word-of-mouth have significantly contributed to our ability to establishing new partnerships. As a result, any negative publicity about us or any of our affiliates could adversely affect our ability to maintain our existing collaboration arrangements or attract new partners.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recently decreased the size and capabilities of our organization, and we may experience difficulties in managing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following the closing of a private placement financing, the Company appointed a new board of directors, who subsequently appointed a new management team. Following these leadership changes, re reversed prior wind-up plans and continued our operations. As of December 31, 2025, the Company had 14 full-time employees. We may experience further changes in the number of our employees and consultants and the scope of our operations in the future, particularly in the areas of finance, clinical development and regulatory affairs. To manage our operations in the future, we must continue to implement and improve our managerial, operational and financial systems, and continue to retain qualified personnel. As we have limited financial resources, we may not be able to effectively manage our operations or retain qualified personnel, which may lead to significant costs and may divert our management and business development resources. Any inability to manage our operations could delay the execution of our business plans, and have a material adverse effect on our business. In addition, our future financial performance will depend, in part, on our ability to effectively manage our operations, and our management may also have to divert a disproportionate amount of its attention away from such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effectively manage our operations and retain employees and engage consultants and contractors as needed, we may not be able to successfully implement the tasks necessary to further develop and commercialize our product candidates and maintain compliance with public company requirements and, accordingly, may not achieve our research, development and commercialization goals. Our failure to do so could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involved in claims, disputes, litigation, arbitration or other legal proceedings in the ordinary course of business, and any claims or proceedings against us could be costly and time-consuming to defend.</w:t>
      </w:r>
    </w:p>
    <w:p>
      <w:pPr>
        <w:pStyle w:val="TextBody"/>
        <w:bidi w:val="0"/>
        <w:spacing w:before="240" w:after="283"/>
        <w:jc w:val="left"/>
        <w:rPr>
          <w:rFonts w:ascii="Times New Roman" w:hAnsi="Times New Roman"/>
          <w:sz w:val="20"/>
        </w:rPr>
      </w:pPr>
      <w:r>
        <w:rPr>
          <w:rFonts w:ascii="Times New Roman" w:hAnsi="Times New Roman"/>
          <w:color w:val="000000"/>
          <w:sz w:val="20"/>
        </w:rPr>
        <w:t>From time to time, we may be involved in claims, disputes and legal proceedings in our ordinary course of business. These may concern issues relating to, among others, product liability, employment or labor disputes, breach of contract, infringement, misappropriation, violation or ownership of intellectual property rights and environmental matters. Any claims, disputes or legal proceedings initiated by us or brought against us, with or without merit, may result in substantial costs and diversion of resources, and could materially harm our reputation. Furthermore, claims, disputes or legal proceedings against us may be due to defective supplies sold to us by our suppliers, who may not be able to indemnify us in a timely manner, or at all, for any costs that we incur as a result of such claims, disputes and legal proceedings. For example, as further described in Item 8.A. under “Financial Information—</w:t>
      </w:r>
      <w:r>
        <w:rPr>
          <w:rFonts w:ascii="Times New Roman" w:hAnsi="Times New Roman"/>
          <w:i/>
          <w:color w:val="000000"/>
          <w:sz w:val="20"/>
        </w:rPr>
        <w:t>Legal and Arbitration Proceedings</w:t>
      </w:r>
      <w:r>
        <w:rPr>
          <w:rFonts w:ascii="Times New Roman" w:hAnsi="Times New Roman"/>
          <w:color w:val="000000"/>
          <w:sz w:val="20"/>
        </w:rPr>
        <w:t>,” we recently entered into a definitive settlement agreement regarding a Writ and Statement of Claim issued in the Grand Court of the Cayman Islands by two minority investors (the TWVC Entities), which requires us to pay a total of $5.0 million in settlement installments plus approximately $0.9 million in legal fees over 24 months, materially impacting our cash flow. Additionally, we are currently engaged in active litigation with Medpace, Inc., a clinical research organization, which sued us for allegedly unpaid service fees. We have filed an Amended Counterclaim seeking in excess of $2.0 million for Medpace’s misappropriation of pre-funded expenses and overcharges. Any unfavorable outcome in this or other litigations could severely harm our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liability claims or lawsuits could cause us to incur substantial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use of our product candidates and the testing of our product candidates in human clinical trials. If we cannot successfully defend ourselves against product liability claims, we may be subject to civil liability for physical injury, death or other losses caused by our products and to administrative liability, criminal liability and the revocation of our business licenses if our products are found to be defective. Regardless of the merits or eventual outcome, product liability claims may also lead to the following adverse consequences,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may suspend or withdraw approvals of the drug;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required to develop a risk evaluation and mitigation strategies program for the drug or, if a risk evaluation and mitigation strategies program is already in place, to incorporate additional requirements under the risk evaluation and mitigation strategies program, or to develop a similar strategy as required by the relevant regulatory authority;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required to conduct post-market studies;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may be significant negative media attention and reputational damage;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regulatory authorities may require additional warnings on the label;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required to conduct product recalls;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management’s time and our resources may be diverted;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incur a loss of revenue;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price of our securities may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obtain liability insurance covering our clinical trials. Although we maintain such insurance, any claim that may be brought against us could result in a court judgment or settlement in an amount that is not covered, in whole or in part, by our insurance or which is in excess of the limits of our insurance coverage. Our insurance policies also contain various exclusions, and we may be subject to particular liability claims for which we have no coverage. We will have to pay any amount awarded by a court or negotiated in a settlement that exceed our coverage limitations or that are not covered by our insurance, and we may not have, or be able to obtain, sufficient capital to pay such amounts. In addition, if we cannot successfully defend ourselves against such claims, we may incur substantial liabilities and be required to suspend or delay our ongoing clinical trials. Even a successful defense would require significant financial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Regardless of the merits or eventual outcome, liability claims may result in significant negative consequences to our business and prospects, including, but not limited to, harm to our reputation, withdrawal of other clinical trial participants, the incurrence of costs to defend the related litigation, the diversion of our management’s time and resources, the requirement to pay substantial monetary awards to trial participants or patients, our inability to commercialize our product candidates, the loss of revenue and the decline of the price of our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Security breaches, loss of data and other disruptions could compromise sensitive information related to our business or prevent us from accessing critical information and expose us to liability, which could adversely affect our business and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our business, we generate and store sensitive data, including research data, intellectual property and confidential and/or proprietary business information owned or controlled by ourselves or our employees, partners and other parties. We manage and maintain our applications and data utilizing a combination of on-site systems and cloud-based data centers. We utilize external security and infrastructure vendors to manage parts of our data centers. These applications and data encompass a wide variety of business-critical information, including R&amp;D information, commercial information and business and financial information. We face a number of risks relative to protecting this critical information, including loss of access risk, inappropriate use or disclosure, accidental exposure, unauthorized access, inappropriate modification and the risk of our being unable to adequately monitor and audit and modify our controls over our critical information. This risk extends to the third party vendors and subcontractors we use to manage this sensitive data or otherwise process it on our behalf. Furthermore, because the techniques used to 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Our third-party service providers and partners are also subject to these heightened risks. The secure processing, storage, maintenance and transmission of this critical information are vital to our operations and business strategy, and we devote significant resources to protecting such information. Although we take reasonable measures to protect sensitive data from unauthorized access, use or disclosure, our information technology and infrastructure may be vulnerable to attacks by hackers or infections by viruses or other malware or breached due to erroneous actions or inactions by our employees or contractors, malfeasance or other malicious or inadvertent disruptions. Any such breach or interruption could compromise our networks and the information stored there could be accessed by unauthorized parties, publicly disclosed, lost or stolen. Any such access, breach, or other loss of information could result in costly legal claims or proceedings, regulatory investigations, or require us to incur expenditures in connection with remediation. If such an event were to occur and cause interruptions in our operations, it could result in a material disruption of our drug development programs. For example, the loss of clinical trial data from ongoing or future clinical trials for any of our product candidates could result in delays in regulatory approvals efforts and significantly increase costs to recover or reproduce the data. Unauthorized access, loss or dissemination could also disrupt our operations and damage our reputation, any of which could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although we maintain cybersecurity insurance coverage, we cannot be certain that such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operating facilities become damaged or inoperable or if we move or are otherwise required to vacate our facilities, our ability to conduct and pursue our R&amp;D efforts may be jeopardized.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R&amp;D is conducted at our facilities located in Hangzhou, China. Our facilities and equipment could be harmed or rendered inoperable or inaccessible by natural or man-made disasters or other circumstances beyond our control, including fire, earthquake, power loss, communications failure, war or terrorism, or another catastrophic event, such as a pandemic or similar outbreak or public health crisis, which may render it difficult or impossible for us to support our partners and develop updates, upgrades and other improvements to our platform, advanced automation systems, and advanced application and workflow software for some period of time. The inability to address system issues could develop if our facilities are inoperable or suffer a loss of utilization for even a short period of time, may result in the loss of partners or harm to our reputation, and we may be unable to regain those partners or repair our reputation in the future. Furthermore, our facilities and the equipment we use to perform our R&amp;D work could be unavailable or costly and time-consuming to repair or replace. It would be difficult, time-consuming and expensive to rebuild our facilities, to locate and qualify a new facility or license or transfer our proprietary technology to a third party. Even in the event we are able to find a third party to assist in R&amp;D efforts, we may be unable to negotiate commercially reasonable terms to engage with the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carry insurance for damage to our property and the disruption of our business, but this insurance may not cover all of the risks associated with damage or disruption to our business, may not provide coverage in amounts sufficient to cover our potential losses and may not continue to be available to us on acceptable terms, if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and those of our third-party research institution and pharmaceutical company collaborators, manufacturers, and other contractors and consultants, could be subject to earthquakes, power shortages, telecommunications failures, water shortages, floods, hurricanes, typhoons, fires, extreme weather conditions, medical or public health crises and other natural or man-made disasters or business interruptions, including terrorism and war. In addition, for some of our clinical trials, we rely on third-party research institution collaborators for conducting R&amp;D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customary insurance coverage, our insurance might not cover all losses under such circumstances and our business may be seriously harmed by such delays and interruption.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Fluctuations in exchange rates may expose us to exchange rate volatility, and may have a material and adverse effect on our results of operations and the value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portions of our expenses in currencies other than the U.S. dollar, in particular, the Renminbi and Australian dollar. As a result, we are exposed to foreign currency exchange risk as our results of operations and cash flows are subject to fluctuations in foreign currency exchange rates, and we have not entered into any agreements to hedge our exchange rate exposure. A decline in the value of the U.S. dollar against currencies in countries in which we conduct clinical trials could have a negative impact on our R&amp;D costs. We cannot predict the impact of foreign currency fluctuations, and foreign currency fluctuations in the future may adversely affect our financial condition, results of operations and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we engage in other forms of collaboration worldwide, including conducting clinical trials abroad, we may be exposed to specific risks of conducting our business and operations in international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Markets outside of the United States and China form an important component of our growth strategy as we out-license some of our commercialization rights to third parties outside the United States and the PRC and plan to conduct certain of our clinical trials abroad. If we fail to obtain applicable licenses or fail to enter into strategic collaboration arrangements with third parties in these markets, or if these collaboration arrangements turn out unsuccessful, our revenue-generating growth potential will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international business relationships subject us to additional risks that may materially adversely affect our ability to attain or sustain profitable operations,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enter into collaboration or licensing arrangements with third parties in connection with our international sales, marketing and distribution efforts may increase our expenses or divert our management’s attention from the acquisition or development of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a specific country’s or region’s political and cultural climate or economic condition;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differing regulatory requirements for drug approvals and marketing internationally;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difficulty of effective enforcement of contractual provisions in local jurisdictions;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potentially reduced protection for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third-party patent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economic weakness, including inflation or political instability;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compliance with tax, employment, immigration and labor laws for employees traveling abroad;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effects of applicable tax structures and potentially adverse tax consequences;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currency fluctuations, which could result in increased operating expenses and reduced revenue, and other obligations incidental to doing business in another country;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workforce uncertainty and labor unrest;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an international market with low or lower prices rather than buying them locally;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of our employees and contracted third parties to comply with Office of Foreign Assets Control rules and regulations and the Foreign Corrupt Practices Act of the United States, and other applicable rules and regulations;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 including earthquakes, volcanoes, typhoons, floods, hurricanes and fires.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risks may materially adversely affect our ability to attain or sustain revenue from international markets.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on third parties to manufacture or import our clinical and commercial drug supplies. Our business could be harmed if those third parties fail to provide us with sufficient quantities of product or fail to do so at acceptable quality levels, prices or in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use third party contract manufacturing organizations (“CMOs”), including single source suppliers, for our manufacturing process and/or for the clinical supply of our product candidates. We do not own manufacturing facilities for producing any clinical trial product supplies. We may be unable to identify manufacturers on acceptable terms or at all because the number of potential manufacturers is limited and the FDA, National Medical Products Administration of China (“NMPA”) or other comparable regulatory authorities must evaluate and/or approve any manufacturers as part of their regulatory oversight of our product candidates. This evaluation would require new testing and current good manufacturing practices (cGMP)-compliance inspections by the FDA, NMPA or other comparable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rely on CMOs outside the United States. Such CMOs may be subject to U.S. legislation, including the proposed BIOSECURE bill, which legislation, if passed and enacted into law, would have the potential to restrict the ability of U.S. biopharmaceutical companies like us to purchase services or products from, or otherwise collaborate with, certain Chinese biotechnology companies “of concern”, including a third-party manufacturer we use for certain product candidates, without losing the ability to contract with, or otherwise receive funding from, the U.S. government. We may also be subject to new U.S. laws or trade restrictions and new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we have limited control over our third-party manufacturers’ production process, and the risks of product candidates or approved drugs not being produced in the necessary volumes or at the appropriate quality levels are higher than if we manufacture in-house. In particular, manufacturers are subject to ongoing periodic inspection by the FDA and to ensure strict compliance with cGMP and other government regulations and by other comparable regulatory authorities for corresponding non-United States requirements. If the FDA or a comparable foreign regulatory authority determines that our CMOs are not in compliance with FDA laws and regulations, including those governing cGMPs, the FDA may not approve an New Drug Application (“NDA”) or Biologics License Application (“BLA”) until the deficiencies are corrected or we replace the manufacturer in our application with a manufacturer that is in compliance. We do not have immediate control over third-party manufacturers’ compliance with manufacturing regulations and requirements and the manufacturers may fail to maintain the necessary licenses, permits and certificates to carry out the manufacture of our product candidates or approved drugs, breach their obligations to produce our product candidates or approved drugs on a timely basis, otherwise cease to conduct contract manufacturing business or fail to abide by our quality control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or potentially through a clinical bridging study, that any new manufacturing process will produce our product according to the specifications previously submitted to or approved by the FDA or other regulatory authorities.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in the case of the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Quality issues related to product candidates or drugs our manufacturers produce for third parties may also be imputed to the products they manufacture for us and adversely affect our reputation. We are also exposed to the risks of increased pricing for our contract manufacturing and that we may be unable to contract with manufacturers at commercially acceptable prices. If the manufacturers we contract with do not produce pharmaceutical products meeting our specifications in sufficient volumes at commercially acceptable prices, or we are unable to contract with manufacturers to do so, we may have insufficient quantities of our product candidates to meet demand for our clinical trials and we may be delayed in obtaining regulatory approvals and commercializing the relevant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these risks could delay or prevent the completion of our clinical trials or the approval of any of our product candidates, result in higher costs or adversely impact commercialization of our future approved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regulatory authorities could place significant restrictions on us until deficiencies are remedied.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on third parties and our collaborators/partners to conduct our preclinical studies and clinical trials and we must work effectively with collaborators to develop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depend, or may depend in the future, upon third parties and/or collaborators and partners to conduct certain aspects of the preclinical studies and clinical trials on our product candidates, under agreements with universities, medical institutions, contract research organizations (“CROs”), strategic collaborators and others. We expect to have to negotiate budgets and contracts with such third parties (and such negotiations may vary significantly among the various third parties) which may result in delays to our development timelines and increased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worked with and plan to continue to work with third-party CROs to monitor and manage data for our ongoing preclinical and clinical programs. We work with these CROs to execute our preclinical studies and clinical trials, control only certain aspects of their activities, and have limited visibility into their day-to-day activities. Nevertheless, we are responsible for ensuring that each of our studies is conducted in accordance with the applicable protocol, legal and regulatory requirements and scientific standards, and our collaboration with the CROs does not relieve us of our regulatory responsibilities. We, our CROs and our development partners for our preclinical and clinical programs and our clinical investigators are required to comply with the good laboratory practice (“GLP”) and good clinical practice (“GCP”), which are regulations and guidelines enforced by the FDA, NMPA and other comparable regulatory authorities for all of our drugs in preclinical and clinical development. If we or any of our CROs, collaborators or clinical investigators fail to comply with applicable GLPs and GCPs, the data generated in the preclinical studies and clinical trials may be deemed unreliable and the FDA, NMPA or comparable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and nonclinical programs. If CROs do not successfully carry out their contractual duties or obligations or meet expected deadlines, if they need to be replaced or if the quality or accuracy of the clinical data they or our clinical investigators obtain is compromised due to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operations and the commercial prospects for our product candidates would be harmed, our costs could increase and our ability to generate revenues could be delayed.</w:t>
      </w:r>
    </w:p>
    <w:p>
      <w:pPr>
        <w:pStyle w:val="TextBody"/>
        <w:bidi w:val="0"/>
        <w:spacing w:before="240" w:after="283"/>
        <w:jc w:val="left"/>
        <w:rPr>
          <w:rFonts w:ascii="Times New Roman" w:hAnsi="Times New Roman"/>
          <w:sz w:val="20"/>
        </w:rPr>
      </w:pPr>
      <w:r>
        <w:rPr>
          <w:rFonts w:ascii="Times New Roman" w:hAnsi="Times New Roman"/>
          <w:color w:val="000000"/>
          <w:sz w:val="20"/>
        </w:rPr>
        <w:t>For example, we recently entered into a collaboration agreement with LaunXP, as described in Item 4.B. “</w:t>
      </w:r>
      <w:r>
        <w:rPr>
          <w:rFonts w:ascii="Times New Roman" w:hAnsi="Times New Roman"/>
          <w:i/>
          <w:color w:val="000000"/>
          <w:sz w:val="20"/>
        </w:rPr>
        <w:t>Business Overview—Licensing and Collaboration Arrangements—LaunXP.</w:t>
      </w:r>
      <w:r>
        <w:rPr>
          <w:rFonts w:ascii="Times New Roman" w:hAnsi="Times New Roman"/>
          <w:color w:val="000000"/>
          <w:sz w:val="20"/>
        </w:rPr>
        <w:t>” If LaunXP fails to comply with applicable GLPs and GCPs as described above, any clinical data generated through LaunXP’s clinical trials may have limited utility outside of Asia and make it more difficult and expensive to obtain regulatory approval in the United States or elsewhere. If LaunXP is not successful in developing additional clinical data demonstrating the benefit of the combination of vebreltinib with an EGFR inhibitor, the development of vebreltinib may be delayed. In addition, if LaunXP does not complete its upfront payment to us, or achieve future milestones which would result in additional payments to us, we would not receive the benefit of such payments, and our business would be harmed.</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w:t>
      </w:r>
      <w:r>
        <w:rPr>
          <w:rFonts w:ascii="Times New Roman" w:hAnsi="Times New Roman"/>
          <w:color w:val="000000"/>
          <w:sz w:val="20"/>
        </w:rPr>
        <w:t>pecifically, we are currently involved in active litigation with Medpace, Inc. (“Medpace”), a contract research organization (CRO) we previously engaged for certain clinical trials. In May 2025, Medpace initiated legal action against the Company alleging breach of contract and seeking payment of allegedly unpaid service fees, exclusive of interest and costs. We have formally denied these allegations and filed an Amended Counterclaim against Medpace. In our Amended Counterclaim, we assert that Medpace committed material breaches of contract and we are seeking a declaratory judgment. We are seeking compensatory damages in excess of $2.0 million, representing the recovery of pre-funded expenses unlawfully retained by Medpace, pass-through costs overpaid by the Company, and service fees overcharged due to Medpace’s deficient performance. An unfavorable judgment requiring us to pay the amounts claimed by Medpace, or our inability to recover damages under our Counterclaim, could adversely affect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recently changed the primary CRO responsible for the vebreltinib SPARTA clinical trial. This change was necessitated in part by the aforementioned disputes and performance failures by Medpace. Switching or adding additional CROs may involve additional cost and delays (including identifying and training suitable additional/replacement clinical investigators and obtaining required IRB approval for any additional/new clinical trial site), which can materially influence our ability to meet our desired clinical development timelines. There can be no assurance that we will not encounter similar challenges or delays in the future or that these delays or challenges will not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Cooperation of our R&amp;D collaborators and partners working on our product candidates are required for the success of our projects. Our R&amp;D collaborators may not be our employees, but collaborate with us under agreements. The delivery and the timeliness of their work, as well as quality of their work, may impact the development of our product candidates and the probability of success. For example, if our collaborator(s) did not provide CMC, preclinical, or clinical data to us on a timely basis or if such data were inadequate for meeting regulatory purposes, the application for marketing approval of our product candidates could be delayed, denied, withheld, or withdrawn from health authorities like the FDA, NMPA, or other comparable health authorities.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our CROs, CMOs or other contractors or consultants fail to comply with environmental, health and safety laws and regulations, we could become subject to fines or penalties or incur costs that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R&amp;D activities involve the controlled use of potentially hazardous substances, including chemical and biological materials, by our third-party manufacturers. We and our CROs, CMOs, other contractors or consultants are subject to environmental, health and safety laws and regulations, including those governing laboratory procedures and the handling, use, storage, treatment and disposal of hazardous materials and wastes. Our and our CROs, CMOs and other partners’ operations may involve the use of hazardous waste products. We may contract with third parties for the disposal of these materials and wastes. We cannot eliminate the risk of contamination or injury from these materials or in disposing those materials. In the event of contamination or injury resulting from the use of hazardous materials or disposal of hazardous materials, we could be held liable for any resulting damages, and any liability could exceed our resources.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also could incur significant costs associated with civil, administrative, or criminal fines and penalties. We may incur substantial costs in order to comply with current or future environmental, health and safety laws and regulations. In particular, we expect that our cost of compliance with applicable environmental rules and regulations will increase notably if we commence production of drugs using our own manufacturing facilities. These current or future laws and regulations may impair our research, development or production efforts. Failure to comply with these laws and regulations also may result in substantial fines, penalties or other sanctions. We do not maintain insurance for environmental liability or toxic tort claims that may be asserted against us in connection with our storage or disposal of hazardous materials. If we face allegations of non-compliance with laws and encounter sanctions, our reputation, revenues and liquidity may suffer, and our product candidates and future drugs could be subject to restrictions or withdrawal from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government investigation of alleged violations of laws could require us to expend significant time and resources in response, and could generate negative publicity. Any failure to comply with ongoing regulatory requirements may significantly and adversely affect our ability to commercialize and generate revenues from our drugs. If regulatory sanctions are applied or if regulatory approval is withdrawn, our value and our operating results will be adversely affected. Additionally, if we are unable to generate revenues from our product sales, our potential for achieving profitability will be diminished and the capital necessary to fund our operations will be increased.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entered into collaborations and may form or seek collaborations or strategic alliances or enter into additional licensing arrangements in the future, and we may not realize the benefits of such alliances or licensing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formed, and in the future may form, strategic alliances, joint ventures or other collaborations, and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shareholders or disrupt our management and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strategic collaboration with partners involves numerous risks. We may not achieve the revenue and cost synergies expected from the transaction. These synergies are inherently uncertain, and are subject to significant business, economic and competitive uncertainties and contingencies, many of which are difficult to predict and are beyond our control. If we achieve the expected benefits, they may not be achieved within the anticipated time frame. Also, the synergies from our collaboration with partners may be offset by other costs incurred in the collaboration, increases in other expenses, operating losses or problems in the business unrelated to our collaboration. As a result, there can be no assurance that these synergies will be achieved.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or commercial viability. If and when we collaborate with a third party for development and commercialization of a product candidate, we can expect to relinquish some or all of the control over the future success of that product candidate to the third party. For any product candidates that we may seek to in-license from third parties, we may face significant competition from other pharmaceutical or biotechnology companies with greater resources or capabilities than us, and any agreement that we do enter into may not result in the anticipated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collaborations involving our product candidates are subject to the following risks: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partners have significant discretion in determining the efforts and resources that they will apply to a collaboration;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collaboration partners may not pursue development and commercialization of our product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collaboration partners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collaboration partners could independently develop, or develop with third parties, drugs that compete directly or indirectly with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collaboration partner with marketing and distribution rights to one or more of our product candidates may not commit sufficient resources to their marketing and distribution;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could grant exclusive rights to our collaboration partners that would prevent us from collaborating with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collaboration partners may not properly obtain, protect, maintain, defend or enforce our intellectual property rights or may use our intellectual property or proprietary information in a way that gives rise to actual or threatened litigation that could jeopardize or invalidate our intellectual property rights or proprietary information or expose us to potential liability;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collaboration partners may not aggressively or adequately pursue litigation against generic filers or may settle such litigation on unfavorable terms, as they may have different economic interests than ours, and such decisions could negatively impact any royalties we may receive under our license agreements;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collaboration partners may own or co-own intellectual property covering our product candidates that results from our collaborating with them, and in such cases, we could potentially not have the exclusive right to commercialize such intellectual property;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co-own with collaboration partners, and therefore not have complete control over, some of our intellectual property and, in the ordinary course of business, we may license our rights under such co-owned intellectual property to third parties, which may lead to disputes with the relevant co-owner of such intellectual property;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collaboration partner’s sales and marketing activities or other operations may not be in compliance with applicable laws resulting in civil, administrative, or criminal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we may not be able to realize the benefit of current or future collaborations, strategic partnerships or the license of our product candidates if we are unable to successfully integrate such collaborations with our existing operations and company culture, which could delay our timelines or otherwise adversely affect our business. We also cannot be certain that, following a strategic transaction or license, we will achieve the revenue or specific net income that justifies such a transaction. If we are unable to reach agreements with suitable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partners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and generate product sales revenue. Any of the foregoing could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to enter into license agreements with third parties to market and sell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third parties may contend that we need to license from them certain intellectual property rights before we launch. For example, we are aware of a family of third-party issued patents in the United States and Europe claiming genus compounds that may be relevant to the structure of vebreltinib (the “Structure Patents”). If we commercialize vebreltinib prior to the expiration of the Structure Patents, and we are not able to obtain a license on commercially acceptable terms, we face the risk that the third party may initiate legal proceedings against us. While the outcomes of such legal proceedings are uncertain, if the court’s judgment is in favor of the third party, we may be subject to remedies or injunctive relief, which could delay our commercial launch until the expiry of the Structure Patents. If we experience significant delays in commercializing vebreltinib, if approved, our business could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obtain licenses to promising oncology programs for the American, European and/or Chinese markets on desirable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seek to form partnerships with global and domestic pharmaceutical and biotechnology companies for the discovery and development of additional product candidates for the American, Chinese and/or European markets. The growth of our business may depend in part on our ability to obtain licenses from third parties. We cannot guarantee that we will be able to continue to successfully identify and in-license new product candidates with high potential to enrich our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of third-party intellectual property rights, especially in the oncology field, is competitive and a number of more established companies are also pursuing strategies to in-license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license their intellectual property rights to us. Further, if disagreements or disputes arise between us and our current licensing partners, our existing collaborations and our reputation may be harmed, and we may not be able to in-license new product candidates from our current licensing partners or other third parties. If we are unable to successfully obtain licenses to promising oncology programs for the American, Chinese and/or European markets on desirable terms, it could have a material adverse effect on our further growth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 material aspects of the R&amp;D and commercialization of pharmaceutical products are heavily regulated. Any failure to comply with applicable laws and regulations and industry standards or obtain various licenses and permits or any change to the applicable laws and regulations could harm our reputation and business,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jurisdictions in which we intend to conduct our pharmaceutical-industry activities regulate these activities in great depth and detail. We intend to focus our activities in the major markets of the United States, Australia and China. These jurisdictions strictly regulate the pharmaceutical industry, and in doing so they employ broadly similar regulatory strategies, including regulation of product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approval, manufacturing, and marketing, sales and distribution of products. However, there are differences in the regulatory regimes that make for a more complex and costly regulatory compliance burden for a company like us that plans to operate in these regions.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obtaining regulatory approvals and compliance with appropriate laws and regulations requires the expenditure of substantial time and financial resources. Failure to comply with the applicable requirements at any time during the product development process or approval process, or after approval, may subject an applicant to administrative or judicial sanctions. These sanctions could include a regulator’s refusal or withdrawal of product approval, license revocation, a clinical hold, voluntary or mandatory product recalls, product seizures, total or partial suspension of production or distribution, injunctions, fines, refusals of government contracts, restitution, disgorgement or civil, administrative, or criminal penalties. Failure to comply with these regulations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many countries or regions where a drug is intended to be ultimately sold, such as the United States, China and Europe, the relevant government authorities and industry regulatory bodies impose high standards on the safety and efficacy of such drug, as well as strict rules, regulations and industry standards on how we develop such drug. For example, we may need to obtain authorization from the FDA or other regulatory authorities as part of an IND application to begin clinical trials, including clinical trials that may be filed as part of an NDA, BLA or other filings to seek marketing approval at a later stage. These regulatory authorities may conduct scheduled or unscheduled periodic inspections of our facilities to monitor our regulatory compliance. We cannot assure you that we will be able to pass all the inspections and obtain clearance in relation to discovery, development and manufacturing, if applicable, from the regulatory authorities. Any failure to comply with existing regulations and industry standards, could result in fines or other punitive actions against us and the disqualification of data for submission to regulatory authorities, each of which could have a material adverse impact on our reputation, business, financial condition, results of operations and prospects. In addition, any action against us for violation of the relevant regulations or industry standards, even if we successfully defend against it, could cause us to incur significant legal expenses, divert our management’s attention from the operation of our business and adversely affect our reputation and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regulatory approval processes of the FDA and other comparable regulatory authorities are lengthy, time-consuming and inherently unpredictable. If we are ultimately unable to obtain regulatory approval for our product candidates, our business will be substantially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 required to obtain approval by the FDA and other comparable regulatory authorities is unpredictable but typically takes 10–15 years following the commencement of preclinical studies and clinical trials and depends on numerous factors, including the substantial discretion of the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could fail to receive regulatory approval for many reasons,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begin or complete clinical trials due to disagreements with regulatory authorities;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demonstrate that a product candidate is safe and effective or, if it is a biologic, that it is safe, pure, and potent for its proposed indication;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of clinical trial results to meet the level of statistical significance required for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demonstrate to the FDA that the objective response rate and duration of response for our product candidates are clinically meaningful;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demonstrate to the FDA that the dose for a product candidate has been optimized;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data integrity issues related to our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regulators may not accept data from our clinical trials completed in foreign jurisdictions if we do not satisfy certain regulatory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failure to interpret correctly any guidance received from regulators;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failure to conduct a clinical trial in accordance with regulatory requirements or our clinical trial protocols;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clinical sites, investigators or other participants in our clinical trials deviating from a trial protocol, failing to conduct the trial in accordance with regulatory requirements, or dropping out of a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a comparable regulatory authority may require more information, including additional preclinical or clinical data, to support approval, which may delay or prevent approval and our commercialization plans, or we may decide to abandon the development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regulatory requirements and guidance may also occur, and we may need to amend clinical trial protocols submitted to applicable regulatory authorities to reflect these changes. Resubmission may impact the costs, timing or successful completion of a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completion of, or the termination of, a clinical trial of any of our product candidates, the commercial prospects of that product candidate will be impaired, and our ability to generate product sales revenues from any of those product candidates will be delayed or may not materialize at all. In addition, any delays in completing our clinical trials will increase our costs, slow down our product candidate development and approval process, and jeopardize our ability to commence product sales and generate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related revenues for that candidate.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depend substantially on the success of our product candidates, all of which are in preclinical or clinical development, and our ability to identify additional product candidates. If we are unable to successfully identify new product candidates, complete clinical development, obtain regulatory approval and commercialize our product candidates, or experience significant delays in doing so, our business will be materially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will depend on the successful development, regulatory approval and commercialization of our product candidates for the treatment of patients with our targeted indications, all of which are still in preclinical or clinical development, and other new product candidates that we may identify and develop. We cannot guarantee that we are able to obtain regulatory approvals for our product candidates in a timely manner, or at all. In addition, none of our product candidates has been approved for marketing in the United States, China or any other jurisdiction. Each of our product candidates will require additional preclinical and/or clinical development, regulatory approvals in multiple jurisdictions, development of manufacturing and supply capacity, substantial investment and significant marketing efforts before we generate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our product candidates will depend on several factors, including but not limited to the successful completion of preclinical and/or clinical trials or studies, receipt of regulatory approvals from applicable regulatory authorities for planned clinical trials, future clinical trials or drug registrations, maintaining adequate manufacturing capabilities and capacities, commercialization of our existing product candidates, hiring sufficient technical experts to oversee all development and regulatory activities and license renewal and meeting of the safety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achieve one or more of these in a timely manner or at all, we could experience significant delays in our ability to obtain approval for our product candidates, which would materially harm our business and we may not be able to generate sufficient revenues and cash flows to continue our operations, and therefore have a materially adversely effect on our business, financial condition, results of operations and prospect.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 any current and future clinical trials for our product candidates outside the home jurisdiction, the FDA, EMA, and applicable foreign regulatory authorities may not accept data from such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 clinical trials outside the United States, including in China, Australia and Europe, and we may choose to conduct future clinical trials outside the United States. The acceptance of study data from clinical trials conducted outside the United States or another jurisdiction by the FDA, European Medicines Agency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the data are applicable to the United States population and United States medical practice, and the trials were performed by clinical investigators of recognized competence and pursuant to GCP regulations. Foreign data may be considered valid without the need for an on-site inspection by the FDA or, if the FDA considers such an inspection to be necessary, the FDA must be able to validate the data through an on-site inspection or other appropriate means. Additionally, the FDA’s clinical trial requirements, including sufficient size of patient populations and statistical powering, must be met. Many foreign regulatory bodies have comparable approval requirements, including appropriate examination of the product in the country-specific population.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may result in the need for additional trials, which would be costly and time-consuming and delay aspects of our business plan, and may result in our product candidates not receiving approval or clearance for commercialization in the applicable jurisdiction.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government regulations or in practices relating to the pharmaceutical and biopharmaceutical industries, including healthcare reform in China, and compliance with new regulations may result in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drug market is heavily regulated globally, including in the United States and China. Changes in government regulations or in practices relating to the pharmaceutical and biopharmaceutical industries, such as a relaxation in regulatory requirements, or the introduction of simplified approval procedures which will lower the entry barrier for potential competitors, or an increase in regulatory requirements which may increase the difficulty for us to satisfy such requirements, may have a material adverse impact on our business, financial condition, results of operations and prospects. In particular, there have been recent regulatory initiatives in China that declared the Chinese government’s intention to encourage the transformation and upgrade of the pharmaceutical industry and to accelerate the approval process for clinical trials. However, the regulatory process in China is evolving and subject to change. Any future policies, or changes to current polices, that the NMPA approves might require us to change our planned clinical trial design or otherwise spend additional resources and effort to obtain approvals of our product candidates. In addition,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and other policy changes as they relate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policy changes may contain significant limitations related to use restrictions for certain age groups, warnings, precautions or contraindications, or may be subject to burdensome post-approval study or risk management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regulatory approvals for our product candidates in one or more jurisdictions, or any approval contains significant limitations, we may not be able to obtain sufficient funding or generate sufficient revenue to continue the development of our product candidates or any other product candidate that we may develop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participate in compassionate use programs, current regulatory discrepancies among competent authorities of different countries may lead to increased risk of adverse drug reaction and serious adverse events being produced from the use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Compassionate use programs are regulatory programs that facilitate access to investigational drugs for the treatment of patients with serious or immediately life-threatening diseases or conditions that lack therapeutic alternatives. Currently, there is no unified approach or standard practice to regulate compassionate use programs amongst competent authorities in different countries for access to investigational drugs. In the United States, the compassionate use, or expanded access, program is limited to patients outside clinical trials that have a serious or immediately life-threatening disease or condition where there is no comparable or satisfactory alternative therapy to treat the disease or condition and where the potential patient benefit justifies the potential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discrepancy for the compassionate use program among competent authorities in different countries may lead to uneven patient entry criteria and protocols for compassionate use programs. This may create increased risk for serious adverse events because of enrolled patients’ advanced disease or comorbidities. In addition, because the products in compassionate use programs are investigational drugs, many of which are still in early experimental stages and have not received marketing approval, patients in compassionate use program may exhibit adverse drug reactions from using these products. If we participate in compassionate use programs, we may be subject to the risk of enrolled patients exhibiting adverse drug reactions or serious adverse events being produced from the use of our products, including unexpected and potentially treatment-related serious adverse events. These occurrences can potentially lead to inquiries from regulators, clinical holds of our ongoing clinical trials or complicate the determination of the safety profile of a product candidate under regulatory review for commercial marketing.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in the future seek orphan drug designation for our product candidates, but we may be unable to obtain orphan drug designation and, even if we obtain such designation, as we have done with vebreltinib, we may not be able to realize or maintain the benefits of such designation, including potential marketing exclusivity of our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other major markets, may designate products intended to treat conditions or diseases affecting relatively small patient populations as orphan drugs. Under the Orphan Drug Act of 1983, the FDA may designate a drug or biologic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product will be recovered from sales in the United States. Orphan drug designation must be requested before submitting a marketing application. In the United States, orphan drug designation entitles a party to financial incentives such as tax advantages and user fee waivers. After the FDA grants orphan drug designation, the generic identity of the drug or biologic and its potential orphan use are disclosed publicly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a period of seven (7) years, except in limited circumstances, such as a showing of clinical superiority to the product with orphan drug exclusivity or where the manufacturer is unable to assure sufficient product quantity.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FDA orphan drug designation for vebreltinib for the “treatment of non-small cell lung cancer with MET genomic tumor aberrations,” and we may seek orphan drug designation for some of our other product candidates in the future in additional orphan indications in which there is a medically plausible basis for the use of these products. We may be unable to obtain and maintain orphan drug designation and, even if we obtain such designation, as we have done with vebreltinib, we may not be able to realize the benefits of such designation, including potential marketing exclusivity of our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where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decide to pursue accelerated approval for any of our product candidates, it may not lead to a faster development or regulatory review or approval process and does not increase the likelihood that our product candidates will receive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consider pursuing accelerated approval for one or more of our product candidates. Under the FDA’s accelerated approval program, the FDA may approve a drug or biologic for a serious or life-threatening disease or condition that provides a meaningful advantage over available therapies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For drugs or biologics granted accelerated approval, post-marketing confirmatory trials are required to verify and describe the anticipated effect on irreversible morbidity or mortality or other clinical benefit. These confirmatory trials must be completed with due diligence, and the FDA may require that the trial be designed, initiated, and/or fully enrolled prior to approval. If we were to pursue accelerated approval for a product candidate for a disease or condition, we would do so on the basis that there is no available therapy for that disease or condition or that our product candidate provides a benefit over available therapy. If standard of care were to evolve or if any of our competitors were to receive full approval on the basis of a confirmatory trial for a drug or biologic for a disease or condition for which we are seeking accelerated approval before we receive accelerated approval, the disease or condition would no longer qualify as one for which there is no available therapy, and accelerated approval of our product candidate would not occur without a showing of benefit over available therapy. For example, capmatinib and tepotinib have received full approval for treatment of NSCLC with MET Exon-14 skipping. In order to support accelerated approval for vebreltinib, we will need to demonstrate that vebreltinib provides a meaningful therapeutic benefit over treatments that have received full approval at the time of consideration for accelerated approval. Many cancer therapies rely on accelerated approval, and the treatment landscape can change quickly as the FDA converts accelerated approvals to full approvals on the basis of successful confirmatory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FDA may withdraw approval of any product candidate approved under the accelerated approval pathway if, for example: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trial or trials required to verify the predicted clinical benefit of our product candidate fail to verify such benefit or do not demonstrate sufficient clinical benefit to justify the risks associated with such product;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evidence demonstrates that our product candidate is not shown to be safe or effective under the conditions of use;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fail to conduct any required post-approval trial of our product candidate with due diligence;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disseminate false or misleading promotional materials relating to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but for which marketing approval continues in effect, and some companies have subsequently voluntarily requested withdrawal of approval of their products. In addition, the Oncology Center of Excellence has recently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In addition, Congress is considering various proposals to potentially make changes to the accelerated approval pathway, including proposals to increase the likelihood of withdrawal of approval in such circumstances.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apply for and obtain breakthrough therapy, fast track or other designation intended to expedite, facilitate or reduce the cost of pursuing development or regulatory review or approval with the FDA or other regulatory authorities for any of our product candidates, there is no guarantee that such designation would lead to faster development, regulatory review or approval, nor would it increase the likelihood that any such product candidate will receive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product candidate is intended for the treatment of a serious condition and nonclinical or preliminary clinical data demonstrate the potential to address an unmet medical need for such condition or a substantial improvement over available therapy on a clinically significant endpoint(s) for such condition, a product candidate sponsor may apply for FDA fast track or breakthrough therapy designation, and there may be other similar designations available under various regulatory authorities. Even though we may apply for and receive a fast track, breakthrough therapy or other priority designations, such priority designation does not ensure that we will receive marketing approval or that approval will be granted within any particular timeframe. We may not experience a faster development or regulatory review or approval process with the priority designation compared to conventional FDA procedures or comparable procedures available under other regulatory authorities. In addition, the FDA or other regulatory authorities may withdraw fast track or breakthrough therapy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designation if it believes that the designation is no longer supported by data from our clinical development program. Fast track or breakthrough therapy designation alone does not guarantee qualification for the FDA or other regulatory authorities’ priority review procedures. Further, even if any of our products obtain fast track or breakthrough therapy designation, this may not lead to earlier regulatory approval or commercialization of our products due to the extensive and time-consuming steps necessary to obtain approval from the FDA or other regulatory authorities and commercialize a product candidate. For example, uproleselan had received fast track designation from the FDA and breakthrough therapy designation from the NMPA, but after the GlycoMimetics-sponsored Phase 3 global trial in r/r AML did not achieve its primary endpoint of a statistically significant improvement in overall survival, and terminated our exclusive collaboration and license agreement with GlycoMimetics for the development and commercialization rights of uproleselan in Greater China.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privacy laws, information security policies and contractual obligations governing the use, processing, and cross-border transfer of personal information and governing our data privacy and security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routinely receive, collect, generate, store, process, transmit and maintain medical data treatment records and other personal details of subjects enrolled in our clinical trials, along with other personal or sensitive information. As such, we are subject to the relevant local, state, national and international data protection and privacy laws, directives regulations and standards that apply to the collection, use, retention, protection, disclosure, transfer and other processing of personal data in the various jurisdictions in which we operate and conduct our clinical trials, as well as contractual obligations. These data protection and privacy law regimes continue to evolve and may result in ever-increasing public scrutiny and escalating levels of enforcement and sanctions and increased costs of compliance. Failure to comply with any of these laws could result in enforcement action against us, including fines, imprisonment of company officials and public censure, claims for damages by customers and other affected individuals, damage to our reputation and loss of goodwill, any of which a material adverse effect on our financial position, results of operations, cash flows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data protection and privacy laws and regulations generally require clinical trial sponsors and operators and their personnel to protect the privacy of their enrolled subjects and prohibit unauthorized disclosure of personal information. If such institutions or personnel divulge the subjects’ private or medical records without their consent, they will be held liable for damage caused thereby. Although we have adopted various measures to ensure our employees would adhere to our internal control measures to maintain confidentiality of our information, these measures may not be always effective, for example, our information technology systems could be breached through hacking activities, and personal information could be leaked due to theft or misuse of personal information arising from misconduct or negligence. In addition, our clinical trials frequently also involve professionals from third party institutions working on-site with our staff and enrolled subjects. We cannot ensure that such persons will always comply with our data privacy measures. Any change in such laws and regulations could affect our ability to use medical data and subject us to liability for the use of such data for previously permitted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non-compliance of all applicable laws, regulations, standards and obligations could result in proceedings against us by data protection authorities, governmental entities or others, including class action privacy litigation in certain jurisdictions, which would subject us to significant awards, fines, penalties, judgments and negative publicity, and may otherwise materially and adversely affect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changing law and regulations regarding regulatory matters, corporate governance and public disclosure that have increased both our costs and the risk of non-compliance.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or will be subject to rules and regulations by various governing bodies, including, for example, Nasdaq and the SEC, which are charged with the protection of investors and the oversight of companies whose securities are publicly traded, and the various regulatory authorities in the United States, China and the Cayman Islands, and to new and evolving regulatory measures under applicable laws.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penalties and our business may be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applicable anti-bribery laws, our reputation may be harmed and we could be subject to penalties and significant expenses that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anti-bribery laws of various jurisdictions, particularly in the United States and China. As our business has expanded, the applicability of the applicable anti-bribery laws to our operations has increased. In particular, we are subject to the United States Foreign Corrupt Practices Act (the “Foreign Corrupt Practices Act”). The Foreign Corrupt Practices Act generally prohibits us from making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improper payments to non-U.S. officials for the purpose of obtaining or retaining business. Although we have policies and procedures designed to ensure that we, our employees and our agents comply with anti-bribery laws, there is no assurance that such policies or procedures will prevent our agents, employees and intermediaries from engaging in bribery activities. If we, due to either our own deliberate or inadvertent acts or those of others, fail to comply with applicable anti-bribery laws, our reputation could be harmed and we could incur criminal, administrative or civil penalties, other sanctions and/or significant expenses, which could have a material adverse effect on our business, including our financial condition, results of operations, cash flows and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Operations in China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Government control of currency conversion of and regulations on investment in PRC entities by offshore holding companies may delay us from making transfers to us from our PRC subsidiaries, or additional contributions to our PRC subsidiaries, which could restrict our ability to fund and expand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Cayman Islands holding company and we may rely to a significant extent on cash transfers from our PRC subsidiaries. The PRC government imposes controls on the convertibility of foreign currencies into Renminbi. Under China’s existing foreign-exchange regulations, foreign-exchange transactions under capital accounts continue to be subject to significant foreign-exchange controls and require the registration with, and approval of, PRC governmental authorities.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This may delay the ability of our PRC subsidiaries to make transfers or other payments to us, or otherwise satisfy foreign currency denominated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PRC government may continue to strengthen its capital controls, and more restrictions and substantial vetting process may be put forward by the State Administration of Foreign Exchange (“SAFE”) for cross-border transactions falling under both the current account and the capital account. Violations of SAFE circulars could result in severe monetary or other penalties. Any limitation on the ability of our PRC subsidiaries to make transfers or other kinds of payments to us could materially and adversely limit our ability to fund our ongoing operations, resulting in material harm to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some of our operations are conducted in China, our business is subject to a certain degree of complex and rapidly evolving laws and regulations there. The Chinese government may exercise significant oversight and discretion over the conduct of our business in the PRC and may intervene in or influence our operations in China at any time, which could result in a material change in our operations and/or the value of our securities, and may restrict or hinder our ability to offer securities and raise capital outside the PRC.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company having certain business operations in China, we are subject to PRC laws and regulations, which can be complex and evolve rapidly. The Chinese government has the power to exercise significant oversight and discretion over the conduct of our business in China, and the regulations to which our business in the PRC is subject may change rapidly and with little advance notice to us or our shareholders. Our ability to operate in China may be harmed by changes in its laws and regulations, including those relating to taxation, environmental regulations, land use rights, property and other matters. The central data security, anti-monopoly policies or local PRC governments may impose new, stricter regulations or interpretations of existing regulations that would require additional expenditures and efforts on our part to ensure its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the PRC or particular regions thereof, and could require us to divest ourselves of any interest we then hold in Chinese properties.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current policies and practices. New laws, regulations, and other government directives in the PRC may also be costly to comply with, and such compliance or any associated inquiries or investigations or any other government actions may delay or impede our operations and development in the PRC and subject us to remedies, administrative penalties and even criminal liabilities that may harm its business, including fines assessed for its current or historical operations, or demands or orders that it modify or even cease its business practices in the PRC.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promulgation of new laws or regulations, or the new interpretation of existing laws and regulations, in each case that restrict or otherwise unfavorably impact the ability or manner in which we conduct our business in the PRC and could require us to change certain aspects of its business to ensure compliance, could reduce our PRC Subsidiaries’ revenues, increase costs and expenses, require our PRC Subsidiaries to obtain more licenses, permits, approvals or certificates, or subject us to additional liabilities. To the extent any new or more stringent measures are required to be implemented, our business, financial condition and results of operations could be adversely affected and the value of our securities could significantly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the PRC government has been seeking to exert more control over and impose more restrictions on companies based in mainland China raising capital offshore and such efforts may continue or intensify in the future. To our knowledge, we are not required to obtain permission or approval from the China Securities Regulatory Commission (the “CSRC”) nor any other regulatory authority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China with respect to offerings of or the listing of our securities. However, as uncertainties remain regarding the interpretation and implementation of PRC laws and regulations, it is uncertain when and whether we will be required to obtain permission from the PRC government to list on U.S. exchanges in the future, and even when such permission is obtained, whether it will be denied or rescinded.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PRC government’s exertion of more control over offerings conducted overseas and/or foreign investment in issuers based in mainland China could result in a material change in the operations of our PRC Subsidiaries, significantly limit or completely hinder our ability to offer or continue to offer securities to investors, and cause the value of our securities to significantly decline or be worthless. In the event that we are required to obtain permission or approval from the CSRC or any other authority in the PRC in the future, any failure to do so could result in the delisting of our securities on exchanges outside China and a decrease in the value of our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our PRC Subsidiaries may become subject to a variety of laws and regulations regarding cybersecurity and data protection in the PRC, and any failure to comply with applicable laws and regulations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PRC regulators, including the Cyberspace Administration of China (the “CAC”), the Ministry of Industry and Information Technology, and the Ministry of Public Security, have been increasingly focused on regulation in areas of data security and data protection. The PRC regulatory requirements regarding cybersecurity are constantly evolving. For instance, various PRC regulatory bodies, including the CAC, the Ministry of Public Security and the SAMR, have enforced data privacy and protection laws and regulations with varying and evolving standards and interpretations.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neither we nor any of our PRC Subsidiaries is subject to cybersecurity review, reporting or other permission requirements by the CAC under applicable PRC cybersecurity laws and regulations with respect to the offering of our securities or the business operations of our PRC Subsidiaries, because neither we or any of our PRC Subsidiaries qualifies as a critical information infrastructure operator or has conducted any data processing activities that affect or may affect national security or holds personal information of more than one million users. Additionally, neither we nor any of our PRC Subsidiaries has been required by any PRC governmental authority to apply for cybersecurity review, nor have we or any of our PRC Subsidiaries received any inquiry, notice, warning, sanction in such respect or been denied permission from any PRC regulatory authority to list on U.S. exchanges. However, as PRC governmental authorities have significant discretion in interpreting and implementing statutory provisions and there remains significant uncertainty in the interpretation and enforcement of relevant PRC cybersecurity laws and regulations if the PRC regulatory authorities take a position contrary to ours, we cannot assure you that we or any of our PRC Subsidiaries will not be deemed to be subject to PRC cybersecurity review requirements, nor can we assure you that we or our PRC Subsidiaries would be able to pass such review. If we or any of our PRC Subsidiaries fails to receive any requisite permission or approval from the CAC for future offerings or the business operations of our PRC Subsidiaries, or the waiver for such permission or approval, in a timely manner, or at all, or inadvertently concludes that such permission or approval is not required, or if applicable laws, regulations or interpretations change and obligate us to obtain such permission or approvals in the future, we or our PRC Subsidiaries may be subject to fines, suspension of business, website closure, revocation of business licenses or other penalties, as well as reputational damage or legal proceedings or actions against us, which may have a material adverse effect on our business, financial condition or results of operations. In addition, we could become subject to enhanced cybersecurity review or investigations launched by PRC regulators in the future pursuant to new laws, regulations or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to be found in violation of PRC data security and private laws, including the Personal Information Protection Law, when conducting our business in China, we could be subject to administrative penalties and civil liabilities, such as warnings, fines, or service suspension or even revocation of licenses, which could materially and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cross-border transfer of data falling under statutory categories is subject to security assessment under PRC law. While, given the nature of our business, we do not believe that we or any of our PRC Subsidiaries is engaged in any activity that is subject to security assessment, like the aforementioned PRC laws which are subject to change, and uncertain interpretation and implementation, we cannot assure you that our cross-border transfer of data will not be subject to security assessments under PRC law.</w:t>
      </w:r>
    </w:p>
    <w:p>
      <w:pPr>
        <w:pStyle w:val="TextBody"/>
        <w:bidi w:val="0"/>
        <w:spacing w:before="240" w:after="283"/>
        <w:jc w:val="left"/>
        <w:rPr>
          <w:rFonts w:ascii="Times New Roman" w:hAnsi="Times New Roman"/>
          <w:sz w:val="20"/>
        </w:rPr>
      </w:pPr>
      <w:r>
        <w:rPr>
          <w:rFonts w:ascii="Times New Roman" w:hAnsi="Times New Roman"/>
          <w:b/>
          <w:i/>
          <w:color w:val="000000"/>
          <w:sz w:val="20"/>
        </w:rPr>
        <w:t>Our partners in China may be restricted from transferring their scientific data or drug products for us to use abroad.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17, 2018, the General Office of the State Council promulgated the Measures for the Management of Scientific Data (the “Scientific Data Measures”), which provides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any researcher conducting research funded at least in part by the Chinese government is required to submit relevant scientific data for management by the entity to which such researcher is affiliated before such data may be published in any foreign academic journal. Given the term “state secret” is not clearly defined, if and to the extent our R&amp;D of product candidates will be subject to the Scientific Data Measures and any subsequent laws as required by the relevant government authorities, we cannot assure you that our partners in China can always obtain relevant approvals for sending scientific data (such as the results of our preclinical studies or clinical trials conducted within China) to us. Besides, regulatory authorities in China have also implemented and are considering a number of legislative and regulatory proposals concerning the collection and transfer of the HGR (defined below) in China. The Regulation of the PRC on the Administration of Human Genetic Resources (“HGR Regulations”)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implementation guidelines require approval from or filing with the Human Genetic Resources Administration of China (“HGR”) for any international collaborative project where HGR are involved, additional approval for any export or cross-border transfer of the HGR materials and filing for cross-border transfer of the HGR related data. Given the interpretation and application of the regulations in China could be uncertain and in flux, if and to the extent that our partners are considered conducting international collaborative projects and exporting or transferring HGR or related data materials abroad, they may need to obtain approval from or filing with the Human Genetic Resources Administration of China. In addition, if and to the extent that preclinical studies or clinical trials involves collection and cross-border transfer of personal data that is not anonymized, the newly promulgated Personal Information Protection Law, effective from November 1, 2021, imposes stringent requirements on cross-border transfer of personal data, including passing the security assessment organized by the CAC, or being certified by a professional institution in respect of the protection of personal information, or concluding a contract with the foreign recipient specifying rights and obligations of both parties based on a prescribed template. The Measures for the Security Assessment of Cross-border Data Transfer, effective from September 1, 2022, provide that the cross-border transfer of data falling under statutory categories shall be subject to security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partners are unable to obtain necessary approvals or filings in a timely manner, or at all, our R&amp;D of product candidates may be hindered, which may materially and adversely affect our business, results of operations, financial conditions and prospects. If the relevant government authorities consider the transmission of our scientific data to be in violation of the requirements under relevant regulations mentioned above, we may be subject to fines and other administrative penalties imposed by those government authorities, which could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could be adversely affected by a deterioration of trade relations between the United States and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United States government has indicated its intent to alter its approach to international trade policy and, among other things, has imposed tariffs on the import of certain foreign goods into the United States, including certain goods imported from China. In response, certain governments, including China, have imposed tariffs on the import of certain U.S. goods. Although innovative drugs have not been the subject of the United States or Chinese tariffs, it remains unclear what the United States, China or other governments will or will not do with respect to tariffs or other international trade policies. A further deterioration of trade relationship between the United States and China, whether as a result of any future imposition of tariffs on the import of Chinese-origin innovative drugs into the United States, or on the import of U.S.-origin innovative drugs into China, or otherwise, could adversely affect our ability to commercialize successfully in the United States and China any drugs for which we may receive marketing approval from the FDA or NMPA. Additionally, a further deterioration of the trade relationship between the United States and China, the imposition of tariffs on Chinese-origin innovative drugs, or U.S.-origin innovative drugs, or the perception that such tariffs may be imposed may adversely impact our ability to collaborate with U.S. or Chinese and other pharmaceutical companies, including our ability to procure license-in agreements to develop and market drugs for the U.S. and China markets.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political relationships among Greater China and other countries may affect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formed partnerships with entities in Greater China and establishing new collaboration partnerships is key to our future growth. Our business is therefore subject to constantly changing international economic, regulatory, social and political conditions, and local conditions in those foreign countries and regions. As a result, Greater China’s political relationships with those foreign countries and regions, in particular the United States, may affect the prospects of maintaining existing or establishing new collaboration partnerships. There can be no assurance that potential collaboration partners will not alter their perception of us or their preferences as a result of adverse changes to the state of political relationships among Greater China and the relevant foreign countries or regions. Any tensions and political concerns among Greater China and the relevant foreign countries or regions may adversely affect our business, financial condition, results of operations, cash flows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implementation of labor laws and regulations in China may adversely affect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PRC law, employers are subject to strict requirements regarding signing labor contracts, minimum wages, paying remuneration, determining the term of employees’ probation and unilaterally terminating labor contracts. Compliance with such law, its implementation rules and the applicable local labor laws, including provincial and municipal labor law may increase our operating expenses, in particular our personnel expenses. In the event that we decide to terminate some of our employees or otherwise change our employment or labor practices, the PRC labor contract law and its implementation rules may also limit our ability to effect those changes in a desirable or cost-effective manner, which could adversely affect our business and results of operations. Under applicable PRC law, employees must participate in pension insurance, work-related injury insurance, medical insurance, unemployment insurance and maternity insurance and housing funds, and the employers must, together with their employees or separately, pay the social insurance premiums and housing funds for such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interpretation and implementation of these laws and regulations are still evolving, we cannot assure you that our employment practice will at all times be deemed in full compliance with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through intellectual property rights, or if the scope of such intellectual property rights obtained is not sufficiently broad, or if any patent rights that we own or in-licensed is challenged by third parties, third parties could develop and commercialize products and technologies similar or identical to ours and compete directly against us, and our ability to successfully commercialize any product or technology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large part on our ability to protect our proprietary technology and product candidates from competition by obtaining, maintaining, defending and enforcing our intellectual property rights, including patent rights. We have sought patents in the United States, China, Europe and other countries or regions for our product candidates, and have also in-licensed the exclusive rights relating to issued patents and pending patent applications in the United States, China and other jurisdictions. We seek to protect the product candidates and their use, components, formulations and methods of treatment, and technology that we consider commercially important by filing patent applications in the United States, China, Europe and other countries or regions, relying on trade secrets or pharmaceutical regulatory protection or employing a combination of these methods. This process is expensive and time-consuming, and we or our licensors may not be able to file and prosecute all necessary or desirable patent applications in all jurisdictions at a reasonable cost or in a timely manner. It is also possible that we or our licensors will fail to identify patentable aspects of our R&amp;D output in time to obtain patent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Any patents that we own or in-licensed may be challenged, narrowed, circumvented or invalidated by third parties. Our pending and future patent applications may not result in patents being issued which protect our technology or product candidates or which effectively prevent others from commercializing competitive technologies and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Even if patents do issue on any of these applications, there can be no assurance that a third party will not challenge their validity, enforceability, or scope, which may result in the patent claims being narrowed or invalidated, or there can be no assurance that we will obtain sufficient claim scope in those patents to prevent a third party from competing successfully with our product candidates. We may become involved in interference, </w:t>
      </w:r>
      <w:r>
        <w:rPr>
          <w:rFonts w:ascii="Times New Roman" w:hAnsi="Times New Roman"/>
          <w:i/>
          <w:color w:val="000000"/>
          <w:sz w:val="20"/>
        </w:rPr>
        <w:t xml:space="preserve">inter partes </w:t>
      </w:r>
      <w:r>
        <w:rPr>
          <w:rFonts w:ascii="Times New Roman" w:hAnsi="Times New Roman"/>
          <w:color w:val="000000"/>
          <w:sz w:val="20"/>
        </w:rPr>
        <w:t xml:space="preserve">review, post grant review, </w:t>
      </w:r>
      <w:r>
        <w:rPr>
          <w:rFonts w:ascii="Times New Roman" w:hAnsi="Times New Roman"/>
          <w:i/>
          <w:color w:val="000000"/>
          <w:sz w:val="20"/>
        </w:rPr>
        <w:t xml:space="preserve">ex parte </w:t>
      </w:r>
      <w:r>
        <w:rPr>
          <w:rFonts w:ascii="Times New Roman" w:hAnsi="Times New Roman"/>
          <w:color w:val="000000"/>
          <w:sz w:val="20"/>
        </w:rPr>
        <w:t>reexamination, derivation, opposition or similar other proceedings challenging our patent rights or the patent rights of others. An adverse determination in any such proceeding could reduce the scope of, or invalidate, our patent rights, allow third parties to commercialize our technology or product candidates and compete directly with us, or result in our inability to manufacture or commercialize product candidates without infringing third-party patent rights. Thus, even if our patent applications issue as patents, they may not issue in a form that will provide us with any meaningful protection, prevent competitors from competing with us or otherwise provide us with any competitive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may be able to circumvent our patents by developing similar or alternative technologies or product candidates in a non-infringing manner. The issuance of a patent is not conclusive as to its scope, validity or enforceability, and our owned and licensed patents may be challenged in the courts or patent offices in the United States, China, Europe and other countries. Such challenges may result in patent claims being narrowed, invalidated or held unenforceable, which could limit our ability to stop or prevent us from stopping others from using or commercializing similar or identical technology and product candidates, or limit the duration of the patent protection of our technology and product candidates. Given the amount of time required for the development, testing and regulatory review of new product candidates, patents protecting such assets might expire before or shortly after such assets are commercialized. As a result, our patent portfolio may not provide us with sufficient rights to exclude others from commercializing product candidates similar or identical to ours.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United States and other countries may diminish the value of our patents or narrow the scope of our patent protection. China and, in March 2013, the United States have adopted the “first-to-file” system under which whoever first files a patent application will be awarded the patent if all other patentability requirements are met. Under the first-to-file system, third parties may be granted a patent relating to a technology which we invented. In addition, under the PRC patent law, any organization or individual that applies for a patent in a foreign country for an invention or utility model accomplished or developed in China is required to report to the China National Intellectual Property Administration (the “CNIPA”) for confidentiality examination. Otherwise, if an application is later filed in China, the patent right will not be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Periodic maintenance fees, renewal fees and annuity fees on any issued patent are due to be paid to the United States Patent and Trademark Office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enjoy only limited geographical protection with respect to certain patents and may not be able to protect our intellectual property rights throughout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Filing, prosecuting, maintaining and defending patents on product candidates in all countries throughout the world could be prohibitively expensive for us, and our intellectual property rights in some non-United States countries can have a different scope and strength than do those in the United States. In addition, the laws of certain countries do not protect intellectual property rights to the same extent as the laws of the United States, or do not favor enforcement or protection of patents or other intellectual property. Consequently, we may not be able to prevent third parties from practicing our inventions in all countries outside the United States, or from selling or importing drugs made using our inventions in and into the United States or non-United States jurisdictions. Competitors may use our technologies in jurisdictions where we have not obtained patent protection to develop their own drugs and further, may export otherwise infringing drugs to non-United States jurisdictions where we have patent protection, but where enforcement rights are not as strong as those in the United States. These drugs may compete with our product candidates and our patent rights or other intellectual property rights may not be effective or adequate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trademark applications pending, any of which may be the subject of a governmental or third-party objection, which could prevent the registration of the same. If we are unsuccessful in obtaining trademark protection for our primary brands, we may be required to change our brand names, which could materially adversely affect our business. Moreover, as our products mature, our reliance on our trademarks to differentiate us from our competitors will increase, and as a result, if we are unable to prevent third parties from adopting, registering or using trademarks and trade dress that infringe, dilute or otherwise violate our trademark rights, or engaging in conduct that constitutes unfair competition, defamation or other violation of our rights, our business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or rules and regulations in the United States, China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may have an adversely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rights do not necessarily protect all aspects of our intellectual property, and if we are unable to maintain the confidentiality of our trade secrets, our business and future prospect will be harmed. We also may be subject to claims that our employees, consultants, or advisers have wrongfully used or disclosed alleged trade secrets of their former employers or claims asserting ownership of what we regard as our own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protection afforded by registered patents, we rely upon unpatented trade secret protection, unpatented know-how and continuing technological innovation to protect our R&amp;D results. However, trade secrets and know-how can be difficult to protect. Although we enter into non-disclosure and confidentiality agreements with parties who have access to confidential or patentable aspects of our R&amp;D output, such as our employees, corporate collaboration partners, outside scientific collaborators, contract manufacturers, consultants, advisers and other third parties, any of these parties may breach such agreements and disclose such output before a patent application is filed, thereby jeopardizing our ability to obtain patent protection, in addition, we cannot guarantee that we have entered into such agreements with each party that may have or have had access to our trade secrets or proprietary technology and processes. We may not be able to prevent the unauthorized disclosure or use of our technical know-how or other trade secrets by the parties to these agreements, however, despite the existence generally of confidentiality agreements and other contractual restrictions. If any of our employees, collaborators, and other third parties who are parties to these agreements breaches or violates the terms of any of these agreements or otherwise discloses our proprietary information, we may not have adequate remedies for any such breach or violation, and we could lose our trade secrets as a result. Enforcing a claim that a third party illegally disclosed or misappropriated our trade secrets, including through intellectual property litigation or other proceedings, is difficult, expensive and time consuming, and the outcome is unpredictable. In addition, courts in China and other jurisdictions inside and outside the United States may be less prepared, less willing or unwilling to protect trade secrets. Our trade secrets could otherwise become known or be independently discovered by our competitors or other third parties. For example, competitors could attempt to replicate some or all of the advantages we derive from our development efforts, willfully infringe, misappropriate or otherwise violate our intellectual property rights, design around our intellectual property protecting such compound or develop their own compound that fall outside of our intellectual property rights. If any of our trade secrets were to be disclosed or independently developed by a competitor, we may have no right to prevent them, or others to whom they communicate it, from using that technology or information to compete against us, which may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the case with other biotechnology and pharmaceutical companies, our success is heavily dependent on obtaining, maintaining, enforcing and defending intellectual property, particularly patents. Obtaining and enforcing patents in the biotechnology industry involves technological and legal complexity, and obtaining and enforcing biotechnology patents is costly, time-consuming and inherently uncertain.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Recently enacted United States laws have changed the procedures through which patents may be obtained and by which the validity of patents may be challenged. These changes include allowing third-party submission of prior art to the USPTO during patent prosecution and additional procedures to attack the validity of a patent by USPTO-administered post-grant proceedings, including post-grant review and </w:t>
      </w:r>
      <w:r>
        <w:rPr>
          <w:rFonts w:ascii="Times New Roman" w:hAnsi="Times New Roman"/>
          <w:i/>
          <w:color w:val="000000"/>
          <w:sz w:val="20"/>
        </w:rPr>
        <w:t xml:space="preserve">inter partes </w:t>
      </w:r>
      <w:r>
        <w:rPr>
          <w:rFonts w:ascii="Times New Roman" w:hAnsi="Times New Roman"/>
          <w:color w:val="000000"/>
          <w:sz w:val="20"/>
        </w:rPr>
        <w:t>review. The America Invents Act and its implementation could increase the uncertainties and costs surrounding the prosecution of our patent applications in the United States and the enforcement or defense of our issued patents, each of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 United States Supreme Court rulings have also changed the law surrounding patent eligibility and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United States Congress, the federal courts and the USPTO, the laws and regulations governing patents could change in unpredictable ways that would weaken our ability to obtain new patents or to enforce our existing patents and patents that we might obtain in the future. There could be similar changes in the laws of foreign jurisdictions that may impact the value of our patent rights or our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China, intellectual property laws are constantly evolving, with efforts being made to improve intellectual property protection in China. For example, an Amendment to the PRC Patent Law (the “2020 Patent Law Amendment”), which was approved in the 22nd Session of the Standing Committee of the Thirteenth National People’s Congress in October 2020 and came into effect on June 1, 2021, provides a patent term extension and patent term adjustment. Patent term extension of up to five (5) years is available to invention patents claiming new drugs, to compensate for the time spent during regulatory process. Patent term adjustment is available to all invention patents, to compensate unreasonable delays caused by patent office during the patent examination procedures. However, the implementing rules for the drug patent extension system have not yet been finalized or adopted, and therefore the implementation, interpretation and enforcement of laws and regulations regarding the patent extension system remain uncertain. After the aforesaid amendment comes into effect, the patents owned by third parties may be extended or adjusted, which may in turn affect our ability to commercialize our products (if approved) without facing infringement risks. If we are required to delay commercialization for an extended or adjusted period of time, technological advances may develop and new products may be launched, which may render our product non-competitive. We also cannot guarantee that other changes to the PRC intellectual property laws would not have a negative impact on our intellectual property protection.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intellectual property, which could be expensive, time-consuming and unsuccessful. Our patent rights relating to our product candidates could be found invalid or unenforceable if challenged in court or before the relevant patent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infringe our patent rights or infringe, misappropriate or otherwise violate our other intellectual property rights. To counter infringement, misappropriation or any other unauthorized use, litigation may be necessary in the future to enforce or defend our intellectual property rights, to protect our trade secrets or to determine the validity and scope of our own intellectual property rights or the proprietary rights of others. This can be expensive and time-consuming. We may not prevail in any lawsuits that we initiate, and the damages or other remedies awarded, if any, may not be commercially meaningful. Any claims that we assert against perceived infringers and other violators could also provoke these parties to assert counterclaims against us alleging that we infringe, misappropriate or otherwise violate their intellectual property rights. Many of our current and potential competitors have the ability to dedicate substantially greater resources to enforce and/or defend their intellectual property rights than we can. Accordingly, despite our efforts, we may not be able to prevent third parties from infringing, misappropriating or otherwise violating our intellectual property rights. An adverse result in any litigation proceeding could put our patents as well as any patents that may issue in the future from our pending patent applications, at risk of being invalidated, held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 Thus, even if we were to ultimately prevail, or to settle at an early stage, such litigation could burden us with substantial unanticipated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may not be able to detect infringement of our patents. Even if we detect infringement by a third party of any of our patents, we may choose not to pursue litigation against or settlement with such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trade secrets or other confidential information could be compromised by disclosure during this type of litigation. Any failure by us to prevent the misappropriation or disclosure of our proprietary information could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litigation may lead to unfavorable publicity which may harm our reputation and cause the market price of our Class A Ordinary Shares to decline, and any unfavorable outcome from such litigation could limit our R&amp;D activities and/or our ability to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 candidates, future drugs, programs or intellectual property could be diminished. Accordingly, the market price of our Class A Ordinary Shares may decline. Such announcements could also harm our reputation or the market for our product candidates,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intellectual property litigation, there can be no assurance that we would prevail, even if the case against us is weak or flawed. If third parties successfully assert their intellectual property rights against us, prohibitions against using certain technologies, or prohibitions against commercializing our product candidates, could be imposed by a court or under a settlement agreement between us and a plaintiff. In addition, if we are unsuccessful in defending against allegations that we have infringed, misappropriated or otherwise violated the patent or other intellectual property rights of others, we may be forced to pay substantial damage awards to the plaintiff. Additionally, we may be required to obtain a license from the intellectual property owner in order to continue our R&amp;D programs or to commercialize any resulting product. It is possible that the necessary license will not be available to us on commercially acceptable terms, or at all. This may not be technically or commercially feasible, may render our products less competitive, or may delay or prevent the launch of our products to the market. Any of the foregoing could limit our R&amp;D activities, our ability to commercialize one or more product candidates, or both.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for our development pipeline through acquisitions and in-licenses.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programs may involve additional product candidates that may require the use of proprietary rights held by third parties, the growth of our business may depend in part on our ability to acquire and maintain licenses or other rights to use these proprietary rights. We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unable to acquire or in-license any compositions, methods of use, or other intellectual property rights from third parties that we identify, on commercially reasonable terms or at all. Even if we are able to obtain such a license, it may be non-exclusive and the applicable licensor could license such intellectual property to third parties that compete with us.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results of operations and prospects. Moreover, even if we obtain licenses to such intellectual property, but subsequently fail to meet our obligations under our license agreements, or such license agreements are terminated for any other reasons, we may lose our rights to in-licensed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patents and patent applications are, and may in the future be, co-owned with third parties. If we are unable to obtain an exclusive license to any such third-party co-owners’ interest in such patents or patent applications, such co-owners, particularly in the United States,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materially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materially adversely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do not obtain protection under the Federal Food, Drug and Cosmetic Act, as amended by the Drug Price Competition and Patent Term Restoration Act of 1984 (the “Hatch-Waxman Amendments”) and similar legislation in other countries extending the terms of our patents, if issued, relating to our product candidates, our business, financial condition, results of operations, and prospect may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Hatch-Waxman Amendments provide the opportunity for patent-term restoration, i.e., a patent term extension of up to five years to reflect patent term lost during certain portions of product development and the FDA regulatory review process. Patent term extensions, however, cannot extend the remaining term of a patent beyond a total of 14 years from the date of drug approval by the FDA, and only one (1) patent can be extended for a particular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specifics of FDA regulatory approval for our product candidates, one or more of our United States patents, if issued, may be eligible for limited patent term restoration under the Hatch-Waxman Amendments.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shortened and our competitors may obtain earlier approval of competing drugs, and our ability to generate revenues could be materially adversely affected. In China, there has been a long time during which no effective law or regulation providing patent term extension, patent linkage, or data exclusivity (referred to as regulatory data protection) exist. Therefore, a lower-cost generic drug can emerge onto the market much more quickly.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Chinese regulators have set forth a framework for integrating patent linkage and data exclusivity into the Chinese regulatory regime. The 2020 Patent Law Amendment also provided patent term extension. However, the provisions are principle-oriented and lack details. For instance, it does not specify the criteria and procedures for the competent authority to grant such patent term extension. To be implemented, it will require adoption of more detailed regulations and rules. To date, no specific implementing regulations or rules have been issued. There can be no assurance that we will obtain such patent term extension in the future.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sued for infringing, misappropriating, or otherwise violating intellectual property rights of third parties or engaging in unfair competition, such litigation could be costly and time-consuming and could prevent or delay us from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substantial amount of litigation and other claims and proceedings involving patent and other intellectual property rights in the biopharmaceutical and pharmaceutical industries generally. As the biopharmaceutical and pharmaceutical industries expand and more patents are issued, the risk increases that our product candidates may give rise to claims of infringement of the patent rights of others. As such, our commercial success depends in part on our and our collaborators’ avoiding infringement, misappropriation, and other violations of the patent and other intellectual property rights of third parties. We are aware of numerous issued patents and pending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applications belonging to third parties that exist in fields in which we are developing our product candidates. In particular, we are aware of the Structure Patents which will expire in December 2026 and may be alleged to cover the structure of vebreltinib. Because we have deferred our U.S. NDA filing for vebreltinib and do not currently anticipate commercializing the product prior to the expiration of these patents, we do not expect the Structure Patents to present a material barrier to our commercialization efforts. However, in the unlikely event that we were to commercialize vebreltinib prior to the expiration of the Structure Patents, the third party may contend that we need to obtain a license before the commercialization of vebreltinib in relevant jurisdictions and to pay license fees. However, we cannot assure you that we will be able to obtain the license on commercially acceptable terms, and if we fail to do so, we face the risk that the third party may initiate legal proceedings against us, which could delay our commercial launch until the Structure Patents expire. Even if we were able to obtain a license, the substantial licensing and royalty fees may have a material impact on our financial performance. We are also aware of the third-party issued patent in the United States claiming the use of a particular c-Met antagonist for treating lung tumors, which we refer to as the General Method Patent (the “General Method Patent”), which will expire in 2026 and may potentially cover the use of vebreltinib in certain indications. As advised by our legal adviser, the relevant claims of the General Method Patent would either not cover vebreltinib or, if broadly interpreted to cover vebreltinib, might be held invalid as claims are overly broad. However, there is no assurance that a court or an administrative agency would agree with our assessment.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including the ones above, bring claims against us for infringement, misappropriation or other violations of their intellectual property rights, we may be subject to injunctive or other equitable relief, which could prevent us from developing and commercializing vebreltinib. In the event of a successful claim against us of infringement, misappropriation or other violation of intellectual property rights, or a settlement by us of any such claims, we may have to pay substantial damages, including treble damages and attorneys’ fees in the case of willful infringement, pay royalties and other payments or redesign our infringing product candidate, which may be impossible or require substantial time and cost. In addition, regardless of whether such claims against us are unsuccessful, defense of these claims, regardless of their merit, would involve substantial litigation expense and would be a substantial diversion of employee resources from our business. In the event of an adverse result in any such litigation, we may need to obtain licenses from third parties to advance our research or allow commercialization of our product candidate. Any such license might not be available on reasonable terms or at all. If we cannot reach agreement with such third parties before any potential commercialization, we may need to delay the commercialization of vebreltinib until the expiration of the relevant intellectual property rights. Even if we were able to obtain a license, the substantial licensing and royalty fees may have material impact on our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litigation or other proceedings are resolved in our favor, there could be public announcements of the results of hearings, motions or other interim proceedings or developments, and if securities analysts or investors perceive these results to be negative, it could have a substantial adverse effect on the market price of our Class A Ordinary Shares. Such litigations or proceedings could substantially increase our operating losses and reduce the resources available for R&amp;D activities or any future sales, marketing or distribution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be required to pay monetary damages or could lose license rights that are important to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relies on our ability to develop and commercialize product candidates we have licensed from third parties, and we have entered into license agreements with third parties providing us with rights to various third-party intellectual property, including rights in patents and patent applications. These and other licenses may not provide exclusive rights to use such intellectual property in all relevant fields of use and in all territories in which we may wish to develop or commercialize our drug products. As a result, we may not be able to prevent competitors from developing and commercializing competitive drug products in territories included in all of our licenses. Our licenses may not encumber all intellectual property rights owned or controlled by the affiliates of our licensors and relevant to our product candidates, and we may need to obtain additional licenses from our existing licensors and others to advance our research or allow commercialization of product candidates we may develop. In such case, we may need to obtain additional licenses which may not be available on an exclusive basis, on commercially reasonable terms or at a reasonable cost, if at all.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have a material adverse effect on our competitive position,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not have the right to control the preparation, filing, prosecution, maintenance, enforcement, and defense of patents and patent applications covering the product candidates that we license from third parties.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drugs that are subject of such licensed rights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licensors may have relied on third party consultants or collaborators or on funds from third parties such that our licensors may not be the sole and exclusive owners of the patents we in-license. This could have a material adverse effect on our competitive position, business, financial conditions, results of operations, and prospects. We may seek to obtain additional licenses from our licensors in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if our licensors breach the license agreements, we may not be able to enforce such agreements against our licensors’ parent entity or affiliates. Under each of our license and intellectual property-related agreements, in exchange for licensing or sub-licensing us the right to develop and commercialize the applicable product candidates, our licensors will be eligible to receive from us milestone payments, tiered royalties from commercial sales of such product candidates, assuming relevant approvals from government authorities are obtained, or other payments. Our license and intellectual property-related agreements also require us to comply with other obligations including development and diligence obligations, providing certain information regarding our activities with respect to such product candidates and/or maintaining the confidentiality of information we receive from our licensors.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comply with our obligations under our current or future license agreements, our counterparties may have the right to terminate these agreements and, upon the effective date of such termination, have the right to re-obtain the licensed and sub-licensed technology and intellectual property. If any of our licensors terminate any of our licenses, we might not be able to develop, manufacture or market any drug or product candidate that is covered by the licenses provided for under these agreements and other third parties or our competitors may have freedom to market product candidates similar or identical to ours. In such case, we may have to negotiate new or reinstated agreements with less favorable terms, and may be required to provide a grant back license to the licensors under our own intellectual property with respect to the terminated products. We may also face claims for monetary damages or other penalties under these agreements. While we would expect to exercise all rights and remedies available to us, including seeking to cure any breach by us, and otherwise seek to preserve our rights under the intellectual property rights licensed and sublicensed to us, we may not be able to do so in a timely manner, at an acceptable cost or at all. In particular, some of the milestone payments are payable upon our product candidates reaching development milestones before we have commercialized, or received any revenue from, sales of such product candidate, and we cannot guarantee that we will have sufficient resources to make such milestone payments. Any uncured, material breach under the license agreements could result in our loss of exclusive rights and may lead to a complete termination of our rights to the applicable product candidate. Any of the foregoing could have a material adverse effect on our competitive position,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we may be unable to obtain any additional licenses at a reasonable cost or on reasonable terms, if at all. Certain of our license agreements also require us to meet development thresholds to maintain the license, including establishing a set timeline for developing and commercializing products. Disputes may arise regarding intellectual property subject to a license agreement,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 related issues;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extent to which our technology and processes infringe, misappropriate or violate intellectual property of the licensor that is not subject to the license agreement;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sublicensing of patent and other rights under our collaborative development relationships;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our partners;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efforts to protect the proprietary nature of the intellectual property related to our technologies are not adequate, we may not be able to compete effectively in our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upon a combination of patents, confidentiality agreements, trade secret protection and intellectual property and confidentiality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pending United States and foreign patent applications in our portfolio; however, we cannot predict: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and when patents will issue based on our patent applications;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scope of protection of any patent issuing based on our patent applications;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degree and range of protection any issued patents will afford us against competitors including whether third parties will find ways to invalidate or otherwise circumvent our patents;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whether any of our intellectual property will provide any competitive advantage;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whether or not others will obtain patents claiming aspects similar to those covered by our patents and patent applications;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whether we will need to initiate or defend litigation or administrative proceedings to enforce and/or defend our patent rights, which may be costly whether we win or lose;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whether the patent applications that we own or may in-license will result in issued patents with claims that cover our product candidates or uses thereof in the United States or in other foreign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certain that the claims in our pending patent applications directed to our product candidates and/or technologies will be considered patentable by the USPTO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or administrative tribunals in the United States or foreign countries.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strength of patents in the biotechnology and cell therapy fields involve complex legal and scientific questions and can be uncertain. The patent applications that we own or may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Various post grant review proceedings, such as </w:t>
      </w:r>
      <w:r>
        <w:rPr>
          <w:rFonts w:ascii="Times New Roman" w:hAnsi="Times New Roman"/>
          <w:i/>
          <w:color w:val="000000"/>
          <w:sz w:val="20"/>
        </w:rPr>
        <w:t>inter partes</w:t>
      </w:r>
      <w:r>
        <w:rPr>
          <w:rFonts w:ascii="Times New Roman" w:hAnsi="Times New Roman"/>
          <w:color w:val="000000"/>
          <w:sz w:val="20"/>
        </w:rPr>
        <w:t xml:space="preserve"> review and post grant review, are available for any interested third party to challenge the patentability of claims issued in patents to us. While these post grant review proceedings have been used less frequently to invalidate biotech patents, they have been successful regarding other technologies, and these relatively new procedures are still changing, and those changes might affect future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confidentiality agreements, and other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Although we require all of our employees to assign their inventions to us, and require all of our employees, manufacturers,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Numerous factors may limit any potential competitive advantage provided by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patent applications that we own or may license may not lead to issued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patents, should they issue, that we own or may license, may not provide us with any competitive advantages, or may be challenged and held invalid or unenforceable;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others may be able to develop and/or practice technology that is similar to our technology or aspects of our technology but that is not covered by the claims of any patents that we own or may license, should any such patents issue;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third parties may compete with us in jurisdictions where we do not pursue and obtain patent protection;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(or any licensors) might not have been the first to make the inventions covered by a pending patent application that we own or may license;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(or any licensors) might not have been the first to file patent applications covering a particular invention;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others may independently develop similar or alternative technologies without infringing our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not be able to obtain necessary licenses on reasonable terms or at 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third parties may assert an ownership interest in our intellectual property and, if successful, such disputes may preclude us from exercising exclusive rights, or any rights at all, over that intellectual property;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need to initiate litigation or administrative proceedings to enforce and/or defend our patent rights, which will be costly whether we win or lose;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not be able to maintain the confidentiality of our trade secrets or other proprietary information;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not develop or in-license additional proprietary technologies that are not patentable;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they could significantly harm our business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rights are of limited duration. In the United States, if all maintenance fees are paid timely, the natural expiration of a patent is generally 20 years after its first effective filing date.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As a result, our patent portfolio may not provide us with sufficient rights to exclude others from commercializing product candidates similar or identical to ours. Upon issuance in the United States, a patent’s life can be increased based on certain delays caused by the USPTO, but this increase can be reduced or eliminated based on certain delays caused by the patent applicant during patent prosecution.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to launch their product earlier than might otherwise be the case, and our revenue could be reduced, possibly materially.</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we may not be able to build name recognition in our markets of interest and our competitive position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own registered trademarks and are currently registering trademarks. We may not be able to obtain trademark protection in territories that we consider of significant importance to us. In addition, any of our trademarks or trade names, whether registered or unregistered, may be challenged, opposed, infringed, canceled, circumvented or declared generic, or determined to be infringing on other marks, as applicable. We may not be able to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U.S. Federal Income Tax</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IRS may not agree that we should be treated as a non-U.S. corporation for U.S. federal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corporation is generally considered for U.S. federal income tax purposes to be a tax resident in the jurisdiction of its organization and incorporation. Accordingly, under generally applicable U.S. federal income tax rules, as we are incorporated under the laws of the Cayman Islands, we would be classified as a non-U.S. corporation (and, therefore, not a U.S. tax resident) for U.S. federal income tax purposes. Section 7874 of the U.S. Internal Revenue Code of 1986, as amended (the “Code”) provides an exception to this general rule, under which a non-U.S. incorporated entity may, in certain circumstances, be treated as a U.S. corporation for U.S. federal income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expect to be treated as a U.S. corporation for U.S. federal income tax purposes under Section 7874 of the Code as a result of the Business Combination. However, the application of Section 7874 of the Code is complex, is subject to detailed rules and regulations (the application of which is uncertain in various respects, and could be impacted by changes in such rules and regulations, with possible retroactive effect). Accordingly, there can be no assurance that the IRS will not challenge our status as a foreign corporation under Section 7874 of the Code or that such challenge would not be sustained by a court.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IRS were to successfully challenge our status as a foreign corporation for U.S. federal income tax purposes under Section 7874 of the Code, we and certain of our shareholders would be subject to significant adverse tax consequences, including a higher effective corporate income tax rate on us and future withholding taxes on certain of our shareholders, depending on the application of any income tax treaty that might apply to reduce such withholding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should consult their own tax advisors regarding the potential application of Section 7874 of the Code to us and their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were characterized as a passive foreign investment company, or “PFIC,” U.S. investors may suffer adverse U.S. federal income tax consequences.</w:t>
      </w:r>
    </w:p>
    <w:p>
      <w:pPr>
        <w:pStyle w:val="TextBody"/>
        <w:bidi w:val="0"/>
        <w:spacing w:before="240" w:after="283"/>
        <w:jc w:val="left"/>
        <w:rPr>
          <w:rFonts w:ascii="Times New Roman" w:hAnsi="Times New Roman"/>
          <w:sz w:val="20"/>
        </w:rPr>
      </w:pPr>
      <w:r>
        <w:rPr>
          <w:rFonts w:ascii="Times New Roman" w:hAnsi="Times New Roman"/>
          <w:color w:val="000000"/>
          <w:sz w:val="20"/>
        </w:rPr>
        <w:t>If we become a PFIC for any taxable year (or portion thereof) that is included in the holding period of a U.S. Holder (as defined in the section of this Annual Report captioned Item 10.E. “</w:t>
      </w:r>
      <w:r>
        <w:rPr>
          <w:rFonts w:ascii="Times New Roman" w:hAnsi="Times New Roman"/>
          <w:i/>
          <w:color w:val="000000"/>
          <w:sz w:val="20"/>
        </w:rPr>
        <w:t>Taxation—Certain U.S. Federal Income Tax Considerations</w:t>
      </w:r>
      <w:r>
        <w:rPr>
          <w:rFonts w:ascii="Times New Roman" w:hAnsi="Times New Roman"/>
          <w:color w:val="000000"/>
          <w:sz w:val="20"/>
        </w:rPr>
        <w:t>”) of our securities, the U.S. Holder may be subject to adverse U.S. federal income tax consequences and may be subject to additional reporting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believe that we were a PFIC for U.S. federal income tax purposes for our most recently ended taxable year and we do not expect to become a PFIC in the foreseeable future. Nevertheless, whether we are treated as a PFIC for U.S. federal income tax purposes for any taxable year is a factual determination that can only be made after the close of such taxable year and, thus, is subject to significant uncertainty and change. Accordingly, there can be no assurances with respect to our status as a PFIC for our current taxable year or any subsequent taxable year. In addition, our U.S. counsel expresses no opinion with respect to our PFIC status for any taxable year. U.S. investors are urged to consult their own tax advisors regarding the possible application of the PFIC rules to their investment in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There can be no assurance that we will be able to comply with the continued listing standards of Nasdaq or any other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A Ordinary Shares and Public Warrants are listed on Nasdaq under the symbols “APLM” and “APLMW,” respectively. If Nasdaq delists our Class A Ordinary Shares from trading on its exchange for failure to meet the continued listing standards, we and our shareholders could face significant material adverse consequences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limited availability of market quotations for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liquidity for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that our Class A Ordinary Shares are a “penny stock” which will require brokers trading in our Class A Ordinary Shares to adhere to more stringent rules, possibly resulting in a reduced level of trading activity in the secondary trading market for our Class A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limited amount of analyst coverage;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on January 16, 2024, we received a notification from Nasdaq stating that the Company was not in compliance with the requirement to maintain a minimum closing bid price of $1.00 per share, as set forth in Nasdaq Listing Rule 5550(a)(2) (the “Bid Price Requirement”), because the closing bid price of the our Class A Ordinary Shares was below $1.00 per share for 30 consecutive business days. On July 16, 2024, the Company received from Nasdaq an additional 180 calendar day period to regain compliance. On November 25, 2024, following shareholder approval, the Company completed a 100 to 1 reverse split of its Class A Ordinary Shares. On December 10, 2024, the Company received a notification from Nasdaq stating that the Company has regained compliance with the Bid Price Requirement, and Nasdaq has determined to continue the listing of the Company’s Class A Ordinary Shares. However, there can be no assurance that the Company will be able to maintain compliance with the Bid Price Requirement or with any of the other Nasdaq continued listing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Although we successfully appealed a recent delisting determination and regained compliance with Nasdaq listing standards in October 2025, our securities may be subject to future delisting threats if we fail to maintain continuous operational metrics or meet minimum continued listing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18, 2025, we received a formal notification letter from the Listing Qualifications Staff of The Nasdaq Stock Market indicating their determination to delist our securities under Nasdaq Listing Rule 5101. The Staff’s determination was predicated on their belief that the Company had become a “public shell” devoid of an operating business. This assessment cited our previous August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regarding the termination of personnel and a potential business wind-up. We strongly disputed this characterization and subsequently filed a formal appeal, which stayed the suspension of trading.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successful closing of our 2025 PIPE financing and the rapid installation of our new leadership team, we provided Nasdaq with substantial evidence of our operational continuity. Consequently, on October 14, 2025, Nasdaq formally notified us that the Staff had evaluated our updated operational status and determined that based on the information provided, the Company is in compliance with all applicable continued listing requirements. As a result, the scheduled appeal hearing was cancelled, and our securities have uninterruptedly remained listed on The Nasdaq Stock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there can be no absolute assurance that we will be able to consistently maintain compliance with all ongoing Nasdaq listing metrics. Any future disruptions to our clinical or business operations, or failure to meet minimum continued listing requirements, could result in renewed delisting proceedings.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trading price of our securities has been and is likely to continue to be volatile, which could result in substantial losses to holders of our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values of our securities may vary significantly from their prices on the date of this Annual Report, and 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affecting the trading price of our securities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annual or semi-annual financial results or the financial results of companies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market’s expectations about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of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failing to meet the expectation of securities analysts or investors in a particular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and recommendations by securities analysts concerning us or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share price performance of other companies that investors deem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market new and enhanced products and technologies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and regulations affecting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compliance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of, or involvement in, litigation involving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capital structure, such as future issuances of securities or the incurrence of additional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volume of our Class A Ordinary Shares available for public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major change in our Board 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substantial amounts of our Class A Ordinary Shares by our directors, executive officers or significant stockholders or the perception that such sales could occur;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such as recessions, interest rates, international currency fluctuations and acts of war or terrorism.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our share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now incurring significant expenses and administrative burdens as a public company, which could have an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legal, accounting, administrative and other costs and expenses as a public company. The Sarbanes-Oxley Act, including the requirements of Section 404 thereof,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time-consuming. A number of these requirements require us to carry out activities we did not previously conduct as a private company. In addition, expenses associated with SEC reporting requirements are being incurred. Furthermore, if any issues in complying with those requirements are identified (for example, we identified a material weakness in our internal control over financial reporting in connection with the preparation of our 2023 financial statements, which was remediated as of December 31, 2024),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or as executive officers. The reporting and other obligations imposed by these rules and regulations incur legal and financial compliance costs and the costs of related legal, accounting and administrative activities. These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 the past had identified a material weakness in our internal control over financial reporting and cannot assure you that additional material weaknesses will not be identified in the future. If we are unable to remediate an identified material weakness, we may not be able to accurately or timely report our financial condition or results of operations. The failure to implement and maintain effective internal control over financial reporting could result in material misstatements in our financial statements in the future, which could require us to restate financial statements, cause investors to lose confidence in the reported financial information and have a negative effect on the price of our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public company, we are required to report, among other things, control deficiencies that constitute a “material weakness” or changes in internal controls that, or that are reasonably likely to, materially affect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preparation of our financial statements at and as of December 31, 2023, we identified a material weakness in our internal control over financial reporting, in accordance with the standards established by the PCAOB. During 2024, we remediated the material weakness and took additional steps to further improve our internal control environment. As of December 31, 2025, management completed its year-end assessment of our internal controls over financial reporting and did not identify any material weaknesses. Our continued failure to implement and maintain effective internal control over financial reporting could result in material misstatements in our financial statements in the future, which could require us to restate our financial statements, cause investors to lose confidence in the reported financial information and have a negative effect on the price of our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additional material weaknesses in our internal control over financial reporting will not be identified in the future. Any failure to maintain or implement required new or improved controls, or any difficulties we encounter in the implementation of new or improved controls, could result in additional material weaknesses, cause us to fail to meet periodic reporting obligations or result in material misstatements in the financial statements. Any such failure could also adversely affect the results of periodic management evaluations regarding the effectiveness of internal control over financial reporting. We are required, pursuant to Section 404 of the Sarbanes-Oxley Act, to furnish a report by management in this Annual Report on, among other things, the effectiveness of our internal control over financial reporting as of the end of the covered fiscal year. However, for as long as we are an “emerging growth company” under the JOBS Act, our independent registered public accounting firm will not be required to attest to the effectiveness of internal control over financial reporting pursuant to Section 404. We could be an emerging growth company for up to five years. An independent assessment of the effectiveness of our internal control over financial reporting could detect problems that we may not be able to detect or that management’s assessment of internal control over financial reporting might not be able to identify through its processes, which could delay our identification and remediation of any additional material weaknesses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comply fully with the Nasdaq listing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Cayman Islands exempted company with its securities listed on Nasdaq, we are subject to the Nasdaq corporate governance listing standards. However, the Nasdaq rules permit a foreign private issuer like us to follow the corporate governance practices of our home country. Certain corporate governance practices in the Cayman Islands, which is our home country, may differ significantly from the Nasdaq corporate governance listing standards. For instance, we are not required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a majority of the board be independent (although all of the members of the audit committee must be independent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a compensation committee or a nominations or corporate governance committee consisting entirely of independent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regularly scheduled executive sessions with only independent directors each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an annual meeting of shareholders or solicit proxies or provide proxy statements for all meetings of shareholders;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shareholder approval for any issuances of our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follow home country practices with respect to corporate governance. As a result of our reliance on the “foreign private issuer” exemptions, our shareholders may be afforded less protection than they otherwise would enjoy under the Nasdaq corporate governance listing standards applicable to U.S. domestic issuers.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qualify as an “emerging growth company” and a foreign private issuer within the meaning of the Securities Act, and we take advantage of certain exemptions from disclosure requirements available to emerging growth companies and foreign private issuers that could make our securities less attractive to investors and may make it more difficult to compare our performance to the performance of other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the exemption from the auditor attestation requirements with respect to internal control over financial reporting under Section 404(b) of the Sarbanes-Oxley Act. We will remain an emerging growth company until the earliest of (i) the last day of the fiscal year in which the market value of our Class A Ordinary Shares that are held by non-affiliates is equal to or exceeds $700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the last day of the fiscal year following the fifth anniversary of the date of the first sale of Class A Ordinary Shares following the consummation of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qualify as a foreign private issuer within the meaning of the rules under the Exchange Act, and, as such, we are exempt from certain provisions applicable to United States domestic public companies. We may lose its status as a foreign private issuer in the future, causing us to incur substantial costs, time and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qualify as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significant shareholders to file public reports of their share ownership and trading activities and liability for insiders who profit from trades made in a short period of time; and (iv) the selective disclosure rules by issuers of material nonpublic information under Regulation FD.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file an annual report on Form 20-F within four months of the end of each fiscal year and as a foreign private issuer, we are not required to file quarterly reports on Form 10-Q. Accordingly, the information we are required to file with or furnish to the SEC is less extensive to that required to be filed with the SEC by U.S. domestic issuers, and, if you hold our securities, you may receive less or different information about us than you would receive about a U.S. domestic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market for our securities will be influenced by the research and reports that industry or securities analysts may publish about us, our business, market or competitors. We do not currently have regular research coverage from any securities analysts. If no securities or industry analysts commence coverage of us, our Class A Ordinary Share price and trading volume would likely be negatively impacted. If any of the analysts who may cover us change their recommendation regarding our Class A Ordinary Shares adversely, or provide more favorable relative recommendations about our competitors, the price of our Class A Ordinary Shares would likely decline. If any analyst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who may cover us were to cease coverage of us or fails to regularly publish reports on us, we could lose visibility in the financial markets, which in turn could cause our share price or trading volume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have no current plans to pay cash dividends on our Class A Ordinary Shares for the foreseeable future, you may not receive any return on investment unless you sell Class A Ordinary Shares for a price greater than that which you 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As a result, you may not receive any return on your investment unless you may sell your Apollomics securities for a price greater than that which you paid for 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 may be difficult to enforce U.S. judgments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holding company incorporated under the laws of the Cayman Islands, and a substantial portion of our assets are outside of the United States. In addition, most of our officers and directors live outside of the United States. As a result, it may be difficult for U.S. investors to effect service of process within the United States upon these persons. It may also be difficult for U.S. investors to enforce within the United States judgments predicated upon the civil liability provisions of the securities laws of the United States or any state thereof. In addition, there is uncertainty as to whether the courts outside the United States would recognize or enforce judgments of U.S. courts obtained against us or our directors and officers predicated upon the civil liability provisions of the securities laws of the United States or any state thereof. Therefore, it may be difficult to enforce U.S. judgments against us, our directors and officers and independent auditors.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part of our assets are based in mainland China. We believe that it is uncertain (i) whether and on what basis a PRC court would enforce judgment rendered by a court in the United States based upon the civil liability provisions of U.S. federal securities laws; and (ii) whether an investor will be able to bring an original action in a PRC court based on U.S. federal securities laws. As such, you may not be able to or may experience difficulties or incur additional costs in order to enforce judgments obtained in U.S. courts based upon the civil liability provisions of U.S. federal securities laws in mainland China or bring original actions in mainland China based on U.S. federal securities laws.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sixth amended and restated memorandum and articles of association (the “MAA”) may have the effect of increasing costs to investors to bring lawsuits or discouraging lawsuits against our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MAA requires that, unless we consent in writing to the selection of an alternative forum, the courts of the Cayman Islands shall have exclusive jurisdiction over any claim arising under the MAA, including, but not limited to: (i) any derivative action or proceeding brought on behalf of us, (ii) any action asserting a claim of breach of a fiduciary duty owed by any current or former director, officer or other employee to us or our shareholders, (iii) any action asserting a claim against us, our directors, officers or employees arising pursuant to any provision of the Cayman Islands Companies Act or the MAA, or (iv) any action asserting a claim against us which, if brought in the United States, would be a claim arising under the internal affairs doctrine.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MAA provides further that unless we consent in writing to the selection of an alternative forum, the federal district courts of the United States shall, to the fullest extent permitted by law, be the sole and exclusive forum for the resolution of any complaint asserting a cause of action arising under the Securities Act. This provision would not apply to claims brought to enforce a duty or liability created by the Exchange Act or any other claim for which the U.S. federal courts have exclusive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MAA provides that any person or entity purchasing or otherwise acquiring or holding any interest in shares of capital stock of us shall be deemed to have notice of and consented to the foregoing choice of forum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choice of forum provisions may limit a shareholder’s ability to bring a claim in a judicial forum that it finds favorable for disputes with us or our directors, officers, or other employees and may discourage these types of lawsuits. Furthermore, the enforceability of similar choice of forum provisions in other companies’ organizational documents has been challenged in legal proceedings, and it is possible that, in connection with any applicable action brought against us, a court could find the choice of forum provisions contained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MAA to be inapplicable or unenforceable in such action. While courts have determined that such choice of forum provisions are facially valid, a shareholder may nevertheless seek to bring a claim in a venue other than those designated in the exclusive forum provisions, and there can be no assurance that such provisions will be enforced by a court in those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although we believe this provision benefits us by providing increased consistency in the application of Cayman Islands law in the types of lawsuits to which it applies, this choice of forum provision may have the effect of increasing costs for investors to bring a claim against us and our directors and officers.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There is no guarantee that the Warrants will be in the money and they may expire worthless.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 for the Warrants, other than the Penny Warrants, is $11.50 per Warrant, which upon exercise converts to 0.01 share of the Company’s Class A Ordinary Shares. We believe the likelihood that Warrant holders will exercise their warrants, and therefore the amount of cash proceeds that we would receive, is dependent upon the trading price of our Class A Ordinary Shares, the closing price for which was $15.85 per share on March 31, 2026. Notably, the exercise price of the Penny Warrants ($0.01 per 0.01 share) is significantly lower than the current trading price of our Class A Ordinary Shares (as discussed below), whereas the exercise price of the Public Warrants and Private Warrants (each at $11.50 per 0.01 share) is significantly higher on a per-share basis than the current trading price of our Class A Ordinary Shares. If the trading price of our Class A Ordinary Shares continues to be less than $1,150 per share, we believe holders of Warrants will be unlikely to exercise their Warrants. There is no guarantee that the Warrants will be in the money prior to their expiration, and as such, the Warrants may expire worthless and we may receive no proceeds from the exercise of the Warrants. Therefore, we do not expect to receive cash proceeds from any such exercise so long as the Warrants remain out of the money.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amend the terms of the Public Warrants and Private Warrants in a manner that may be adverse to holders with the approval by the holders of at least a majority of the then outstanding Public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Public Warrants and Private Warrants were issued in registered form under the warrant agreement between Continental Stock Transfer &amp; Trust Company, as warrant agent, and Maxpro, that was assigned to and assumed by us in connection with the Business Combination. The agreement provides that the terms of the Public Warrants and Private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Accordingly, we may amend the terms of the Public Warrants and Private Warrants in a manner adverse to a holder if holders of at least a majority of the then outstanding Public Warrants approve of such amendment. Although our ability to amend the terms of the Public Warrants and Private Warrants with the consent of a majority of the then outstanding Public Warrants is unlimited, examples of such amendments could be amendments to, among other things, increase the exercise price of the warrants, convert the warrants into stock or cash, shorten the exercise period or decrease the number of warrant shares issuable upon exercise of a warrant.</w:t>
      </w:r>
    </w:p>
    <w:p>
      <w:pPr>
        <w:pStyle w:val="TextBody"/>
        <w:bidi w:val="0"/>
        <w:spacing w:before="240" w:after="283"/>
        <w:jc w:val="left"/>
        <w:rPr>
          <w:rFonts w:ascii="Times New Roman" w:hAnsi="Times New Roman"/>
          <w:sz w:val="20"/>
        </w:rPr>
      </w:pPr>
      <w:r>
        <w:rPr>
          <w:rFonts w:ascii="Times New Roman" w:hAnsi="Times New Roman"/>
          <w:b/>
          <w:i/>
          <w:color w:val="000000"/>
          <w:sz w:val="20"/>
        </w:rPr>
        <w:t>Mr. Hung-Wen (Howard) Chen, our Chief Executive Officer and the Chairman of our Board of Directors, will exert significant influence on our business and operations and may have a conflict of interest with our other shareholders.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Mr. Hung-Wen (Howard) Chen, in addition to being our Chief Executive Officer and Chairman of our Board of Directors, controls approximately 41%, of the voting power of our issued and outstanding Class A Ordinary Shares, as of April 22, 2026. As such, Mr. Chen will be able to exercise substantial influence over our business and operations. He may also have a conflict of interest with our other shareholders. Where such a conflict exists, our other shareholders will be dependent upon Mr. Chen and other directors exercising, in a manner fair to all of our shareholders, their fiduciary duties. Also, Mr. Chen will have the ability to exert significant influence over the outcome of most corporate actions requiring shareholder approval, including the sale of all or substantially all of our assets and amendments to our Memorandum and Articles of Association. Moreover, such concentration of voting power could have the effect of delaying, deterring, or preventing a change of control or other business combination, which may, in turn, have an adverse effect on the market price of our shares or prevent our shareholders from realizing a premium over the then-prevailing market price for their shares.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4"/>
      <w:bookmarkEnd w:id="11"/>
      <w:r>
        <w:rPr>
          <w:rFonts w:ascii="Times New Roman" w:hAnsi="Times New Roman"/>
          <w:b/>
          <w:color w:val="000000"/>
          <w:sz w:val="20"/>
        </w:rPr>
        <w:t>Item 4. Information on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History and Development of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Apollomics is a clinical-stage biopharmaceutical company focused on the discovery and development of oncology therapies with the potential to be combined with other treatment options to harness the immune system and target specific molecular pathways to inhibit cancer. Our strategic focus is the development of novel therapies targeting difficult to treat cancers. We use both targeted, immuno-oncology, and other innovative approaches to address a range of cancer indications, such as acute myeloid leukemia, lung cancer, brain cancer, and other solid tumors. Our pipeline includes a variety of cancer treatment programs that utilize tumor inhibitors, cell adhesion inhibitors, immune checkpoint inhibitors, a cancer vaccine, monotherapies, combination therapies or a multi-functional protein with the goals to improve response rates and reduce chemo-resistance and toxicity compared to the current treatment standards. We have adopted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biomarker-driven diagnostic approach for patient screening to increase precision in identifying patients that can potentially benefit from target therapy.</w:t>
      </w:r>
    </w:p>
    <w:p>
      <w:pPr>
        <w:pStyle w:val="TextBody"/>
        <w:bidi w:val="0"/>
        <w:jc w:val="left"/>
        <w:rPr>
          <w:rFonts w:ascii="Times New Roman" w:hAnsi="Times New Roman"/>
          <w:sz w:val="20"/>
        </w:rPr>
      </w:pPr>
      <w:r>
        <w:rPr>
          <w:rFonts w:ascii="Times New Roman" w:hAnsi="Times New Roman"/>
          <w:color w:val="000000"/>
          <w:sz w:val="20"/>
        </w:rPr>
        <w:t>We were originally formed as CB Therapeutics Inc. as a result of a spin-off of Crown Bioscience International, which was completed on December 31, 2015. As a result, we became the owner of certain patent and intellectual property rights relating to some of our product candidates. Since our founding, we have built a pipeline focused on oncology, of which three product candidates remain in active clinical stage development. For more information relating to the series of transactions resulting in our acquisition of these patent rights, please see “—</w:t>
      </w:r>
      <w:r>
        <w:rPr>
          <w:rFonts w:ascii="Times New Roman" w:hAnsi="Times New Roman"/>
          <w:i/>
          <w:color w:val="000000"/>
          <w:sz w:val="20"/>
        </w:rPr>
        <w:t>Intellectual Property Assignment</w:t>
      </w:r>
      <w:r>
        <w:rPr>
          <w:rFonts w:ascii="Times New Roman" w:hAnsi="Times New Roman"/>
          <w:color w:val="000000"/>
          <w:sz w:val="20"/>
        </w:rPr>
        <w:t>”, below.</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29, 2023, Apollomics consummated the Business Combination with Maxpro pursuant to the Business Combination Agreement. In connection with the closing of the Business Combination, Apollomics became a publicly traded company on Nasdaq. </w:t>
      </w:r>
    </w:p>
    <w:p>
      <w:pPr>
        <w:pStyle w:val="TextBody"/>
        <w:bidi w:val="0"/>
        <w:jc w:val="left"/>
        <w:rPr>
          <w:rFonts w:ascii="Times New Roman" w:hAnsi="Times New Roman"/>
          <w:color w:val="000000"/>
          <w:sz w:val="20"/>
        </w:rPr>
      </w:pPr>
      <w:r>
        <w:rPr>
          <w:rFonts w:ascii="Times New Roman" w:hAnsi="Times New Roman"/>
          <w:color w:val="000000"/>
          <w:sz w:val="20"/>
        </w:rPr>
        <w:t>On November 25, 2024, following shareholder approval, the Company completed a 100 to 1 reverse split of its Class A Ordinary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Apollomics is a holding company incorporated in the Cayman Islands. Our primary business is conducted at our U.S. headquarters with our global drug development team located in the San Francisco Bay Area. We also operate in China with our discovery and development team located in Hangzhou. We also have subsidiaries in Australia (Apollomics (Australia) Pty Ltd, formed in November 2016), Hong Kong (Apollomics (Hong Kong) Limited, formed in June 2019) and China (Zhejiang Crownmab (“Zhejiang Crownmab”) Biotech Co. Ltd. and Zhejiang Crown Bochuang Biopharma Co. Ltd., formed in May 2018 and May 2020, respectively). Investments in Apollomics’ securities are not purchases of equity securities of these operating subsidiaries in the United States or PRC but instead are purchases of equity securities of a Cayman Islands holding company with no material operations of its own.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executive offices are located at 989 E. Hillsdale Boulevard, Suite 220, Foster City, California 94404, and its telephone number is +1 650 209 4055.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required to make certain filings with the SEC. The SEC maintains an internet website that contains reports, proxy statements and other information about issuers, like us, that file electronically with the SEC. The address of that site is </w:t>
      </w:r>
      <w:r>
        <w:rPr>
          <w:rFonts w:ascii="Times New Roman" w:hAnsi="Times New Roman"/>
          <w:sz w:val="20"/>
        </w:rPr>
        <w:t>www.sec.gov</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Overview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clinical-stage biotechnology company focused on discovering and developing oncology therapies to address unmet medical needs, especially for difficult-to-treat and treatment-resistant cancers. Since our founding in 2015, we have built a pipeline focused on oncology, of which three product candidates remain in active clinical stage development. Our leading product candidate, vebreltinib, has shown initial promising clinical results.</w:t>
      </w:r>
    </w:p>
    <w:p>
      <w:pPr>
        <w:pStyle w:val="TextBody"/>
        <w:bidi w:val="0"/>
        <w:jc w:val="left"/>
        <w:rPr>
          <w:rFonts w:ascii="Times New Roman" w:hAnsi="Times New Roman"/>
          <w:color w:val="000000"/>
          <w:sz w:val="20"/>
        </w:rPr>
      </w:pPr>
      <w:r>
        <w:rPr>
          <w:rFonts w:ascii="Times New Roman" w:hAnsi="Times New Roman"/>
          <w:color w:val="000000"/>
          <w:sz w:val="20"/>
        </w:rPr>
        <w:t>Our strategic focus is the development of novel therapies targeting difficult to treat cancers. We use both targeted, immuno-oncology, and other innovative approaches to address a range of cancer indications, such as lung cancer, brain cancer, and other solid tumors. Our pipeline includes a variety of cancer treatment programs that utilize tumor inhibitors, cell adhesion inhibitors, immune checkpoint inhibitors, a cancer vaccine, monotherapies, combination therapies or a multi-functional protein with the goals to improve response rates and reduce chemo-resistance and toxicity compared to the current treatment standards. We have adopted a biomarker-driven diagnostic approach for patient screening to increase precision in identifying patients that can potentially benefit from target therapy.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candidates in our pipeline can be categorized into two groups based on their mechanisms of action, each of which contains product candidates at different stages of development: (i) tumor inhibitors and (ii) immuno-oncology drugs. We believe that having two groups of product candidates with different mechanisms of action will enable us to develop potential synergistic therapies that address unmet needs in cancer treatment.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Active Development Programs: Tumor Inhibitors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tumor inhibitor product candidates consist of two small molecule inhibitors against different uncontrolled growth signaling pathways in cancer cells: vebreltinib and APL-102. We are developing therapies that may target alternative pathways to overcome cancer treatment resistance, including chemo-resistance and targeted therapy resistance.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Vebreltinib (APL-101)</w:t>
      </w:r>
      <w:r>
        <w:rPr>
          <w:rFonts w:ascii="Times New Roman" w:hAnsi="Times New Roman"/>
          <w:color w:val="000000"/>
          <w:sz w:val="20"/>
        </w:rPr>
        <w:t xml:space="preserve">. Our most advanced product candidate is vebreltinib, a potent, oral active, highly selective c-Met inhibitor. Cancer cells often use c-Met activation to escape therapies targeting other signaling pathways. Capmatinib and tepotinib, two c-Met inhibitors, were approved by the FDA for the treatment of metastatic NSCLC with Met Exon 14 skipping in 2020 and 2021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accelerated approval, respectively, followed by traditional approvals in 2022 and 2024, rendering Met Exon 14 skipping a clinically validated target. Avistone, our partner in China, received conditional approval from the NMPA for vebreltinib in November 2023 for the same indication. In addition, in April 2024, Avistone received conditional approval from the NMPA for vebreltinib for the treatment of gliomas with a PTPRZ1-MET fusion (ZM fusion) gene after failure of previous treatments; in June 2025, Avistone received approval from the NMPA for vebreltinib for the treatment of MET-amplified NSCLC. We believe that the potential of vebreltinib in cancers with genetic mutations, amplification or fusion of the c-Met gene presents a significant opportunity for us. We are investigating vebreltinib in clinical trials as a single agent for the potential treatment of NSCLC and other advanced tumors with c-Met alterations, and also as a combination therapy with epidermal growth factor receptor (“EGFR”) inhibitors. We have obtained orphan drug designation for vebreltinib for the “treatment of non-small cell lung cancer with MET genomic tumor aberrations,” which includes Met Exon 14 skipping and c-Met amplification. Our primary focus for the future development of vebreltinib will be for the treatment of NSCLC with c-Met Amplification. We intend to continue to explore the opportunity for combining vebreltinib with other approved drugs or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Development Programs: Immuno-Oncology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three immuno-oncology product candidates consist of: APL-501, APL-502 and APL-801. These product candidates are designed to take advantage of the body’s immune system to fight cancer and include mono-specific and bi-specific antibodies that could release the natural brakes of immune response against cancer cells, as well as a novel cancer vaccine. Our current strategy is to identify development and commercialization partners for these product candidates to enable the most capital-efficient development programs in this highly competitive area.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APL-501</w:t>
      </w:r>
      <w:r>
        <w:rPr>
          <w:rFonts w:ascii="Times New Roman" w:hAnsi="Times New Roman"/>
          <w:color w:val="000000"/>
          <w:sz w:val="20"/>
        </w:rPr>
        <w:t>. APL-501 is an anti-PD-1 antibody product candidate. Data from a Phase 1 study in advanced or relapsed/refractory solid tumors in Australia are currently being analyzed.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APL-502</w:t>
      </w:r>
      <w:r>
        <w:rPr>
          <w:rFonts w:ascii="Times New Roman" w:hAnsi="Times New Roman"/>
          <w:color w:val="000000"/>
          <w:sz w:val="20"/>
        </w:rPr>
        <w:t>. APL-502 is an anti-PD-L1 antibody product candidate and is being developed by Chia Tai Tian Qing (“CTTQ”), our partner in China. APL-502 (also known as TQB-2450) has been approved by China’s NMPA for three distinct indications: extensive-stage small cell lung cancer, recurrent/metastatic endometrial cancer, and late-stage unresectable or metastatic renal cell carcinoma. Ongoing clinical trials include the following tumor types: NSCLC, esophageal cancer, ovarian cancer, hepatocellular carcinoma, cholangiocarcinoma, primary mediastinal large B cell lymphoma, and alveolar soft part sarcoma.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Having our own anti-PD-1 and anti-PD-L1 antibody candidates allows us to develop single-agent and combination therapies based on PD-(L)1 inhibition and also enables us to, using these antibodies as backbones, design and generate novel molecules, such as multi-specific antibodies, which may have improved activity compared with currently marketed immune checkpoint inhibitor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chart summarizes the development status of our product candidates from clinical stage to discovery stage. Third parties also have ongoing clinical trials in their respective territories.</w:t>
      </w:r>
    </w:p>
    <w:p>
      <w:pPr>
        <w:pStyle w:val="TextBody"/>
        <w:bidi w:val="0"/>
        <w:spacing w:before="120" w:after="283"/>
        <w:jc w:val="left"/>
        <w:rPr/>
      </w:pPr>
      <w:r>
        <w:rPr/>
        <w:drawing>
          <wp:inline distT="0" distB="0" distL="0" distR="0">
            <wp:extent cx="6705600" cy="3762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05600" cy="376237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highlights of clinical trials conducted by third parties on our product candidates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Avistone has conducted clinical trials for vebreltinib in China through the completion of Phase 2 in NSCLC with c-Met alterations, and has completed a randomized Phase 2/3 trial in GBM patients with PTPRZ1 c-Met fusion; those are approved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Genor has conducted clinical trials for APL-501 in China through Phase 3;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CTTQ has conducted clinical trials for APL-502 in China into Phase 3 and approved in China.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Apollomics is not responsible for, and does not have control over, clinical trials conducted by such third parties and does not have any direct financial interest in the development of our product candidates by such third parties. However, the development of our product candidates by such third parties has the potential to benefit the regulatory status and development costs of such product candidates in the geographies and trials for which we are responsible and have control over, due to our ability to access the developmental and clinical data from such third parties and to benefit from the feedback of such trials as information regarding such trials is made available. For more information regarding our arrangements with third parties, please see the section below entitled “—</w:t>
      </w:r>
      <w:r>
        <w:rPr>
          <w:rFonts w:ascii="Times New Roman" w:hAnsi="Times New Roman"/>
          <w:i/>
          <w:color w:val="000000"/>
          <w:sz w:val="20"/>
        </w:rPr>
        <w:t>Licensing and Collaboration Arrangements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strategic focus is the development of novel therapies targeting difficult to treat cancers and drug resistant patients. To address the needs of cancer patients for safer and more effective cancer treatment solutions, we strive to unlock the synergy between treatments and address drug resistance. The key elements of our business strategy to achieve these goals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Advancing the global development of vebreltinib to fully expand its potential across different c-Met alterations across different tumors, and to develop other tumor inhibitor candidates. </w:t>
      </w:r>
      <w:r>
        <w:rPr>
          <w:rFonts w:ascii="Times New Roman" w:hAnsi="Times New Roman"/>
          <w:color w:val="000000"/>
          <w:sz w:val="20"/>
        </w:rPr>
        <w:t>We are developing vebreltinib for the treatment of NSCLC with Met Exon 14 skipping, NSCLC with c-Met amplification, and pan-tumor c-Met fusions including brain tumors with c-Met alterations. We are also exploring the potential of vebreltinib for treating other cancers with c-Met alterations. This is taking place in our ongoing Phase 2 global study as well as in ongoing Phase 2 studies conducted by our partner, Avistone. We are also exploring, in an investigator-sponsored study, combination therapy using vebreltinib with an EGFR inhibitor mutation to reduce treatment resistance. We may also develop vebreltinib combination therapy strategies involving other approved products or product candidates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Expanding our drug portfolio through collaboration and partnership. </w:t>
      </w:r>
      <w:r>
        <w:rPr>
          <w:rFonts w:ascii="Times New Roman" w:hAnsi="Times New Roman"/>
          <w:color w:val="000000"/>
          <w:sz w:val="20"/>
        </w:rPr>
        <w:t>Our strategy to expand our pipeline also includes collaborations with global and domestic pharmaceutical and biotechnology companies, as well as academic and research institutions. We continue to seek opportunities to in-license new assets. In addition, to fully unlock the therapeutic potential of our current pipeline, we will continue to explore combination therapies that potentially may further increase therapeutic benefit beyond monotherapy.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Seeking development and commercialization partnerships to optimize efficiency.</w:t>
      </w:r>
      <w:r>
        <w:rPr>
          <w:color w:val="000000"/>
        </w:rPr>
        <w:t xml:space="preserve"> </w:t>
      </w:r>
      <w:r>
        <w:rPr>
          <w:rFonts w:ascii="Times New Roman" w:hAnsi="Times New Roman"/>
          <w:color w:val="000000"/>
          <w:sz w:val="20"/>
        </w:rPr>
        <w:t>We plan to seek strategic partnerships with recognized players in the industry to make our innovative medicines accessible to patients, and to maximize the market potential of our assets in the most efficient manner.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Building a network of centers for clinical trials.</w:t>
      </w:r>
      <w:r>
        <w:rPr>
          <w:color w:val="000000"/>
        </w:rPr>
        <w:t xml:space="preserve"> </w:t>
      </w:r>
      <w:r>
        <w:rPr>
          <w:rFonts w:ascii="Times New Roman" w:hAnsi="Times New Roman"/>
          <w:color w:val="000000"/>
          <w:sz w:val="20"/>
        </w:rPr>
        <w:t>We have built a network of centers for clinical trials across more than ten jurisdictions, including the United States, China, Canada, England, France, Spain, Germany, Italy, Australia, Taiwan and Singapore, including lead sites at leading academic medical institutions. By leveraging our global network, we have access to subjects from different continents to achieve the enrollment goals for our clinical trials and regulatory objectives in multiple regions.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Key Competitive Strengths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following capabilities and competitive strengths will enable us to achieve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Science-driven approach powering a pipeline of next-generation therapies for patients globally.</w:t>
      </w:r>
      <w:r>
        <w:rPr>
          <w:color w:val="000000"/>
        </w:rPr>
        <w:t xml:space="preserve"> </w:t>
      </w:r>
      <w:r>
        <w:rPr>
          <w:rFonts w:ascii="Times New Roman" w:hAnsi="Times New Roman"/>
          <w:color w:val="000000"/>
          <w:sz w:val="20"/>
        </w:rPr>
        <w:t>Building on the discovery and early-stage preclinical development work conducted on vebreltinib, we have undertaken the core preclinical and clinical development strategy, design, invention and chemistry, manufacturing and controls (“CMC”) management of our product candidates, while outsourcing the execution of preclinical studies, clinical trials and manufacturing to contract research organizations (“CROs”) and contract manufacturing organizations (“CMOs”) that are managed by us. Leveraging our external resources, we have adopted a biomarker-driven diagnostic approach for patient screening to identify patients with specific biomarkers who could potentially be responsive to a study drug that can potentially benefit from our programs. Since our inception, we have assembled an experienced management team and have recruited industry talents with track records of success. Recently, in the third quarter of 2025, we further strengthened our leadership by appointing a new executive management team with extensive expertise in corporate restructuring, global clinical operations, and capital markets. Our R&amp;D team has experience in chemistry, pharmaceutics, pharmacology, toxicology, cancer biology and CMC. We have experienced clinical development personnel with expertise in the United States, China, the European Union, and elsewhere around the world.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Strong in-house R&amp;D engine coupled with global business development capability.</w:t>
      </w:r>
      <w:r>
        <w:rPr>
          <w:color w:val="000000"/>
        </w:rPr>
        <w:t xml:space="preserve"> </w:t>
      </w:r>
      <w:r>
        <w:rPr>
          <w:rFonts w:ascii="Times New Roman" w:hAnsi="Times New Roman"/>
          <w:color w:val="000000"/>
          <w:sz w:val="20"/>
        </w:rPr>
        <w:t>We are a global team with capabilities spanning from early- through late-stage clinical development. We are developing a diverse pipeline of cancer therapies. We are also able to source talent and assets from other biotechnology companies globally. We have proven our scientific and development capabilities with the ability to build a robust pipeline by having secured or filed more than 79 active patents and patent applications, with more than 50 owned or directly filed by Apollomics, spanning nine therapeutic targets and covering discovery, development and manufacturing know-how. We believe our knowledge in target discovery, cancer biology and antibody generation and development, as well as our protein engineering capabilities and global clinical development capabilities will maximize the probability of high quality product candidates to grow our pipeline to be followed by technical and regulatory success of our in-house discovered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Vebreltinib, our orally-available c-Met Inhibitor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this Annual Report, throughout the world, NSCLC with Met Exon 14 skipping is the only indication for which some of these c-Met TKIs are approved despite the potential application of c-Met inhibitors towards treatment of tumors with other c-Met mutations/dysregulations, such as c-Met amplifications and Met fusions. Capmatinib and tepotinib are both approved as first and second line treatment in patients with NSCLC Met Exon 14 skipping mutation in the United States and Japan, and as second-line treatment in the European Union. Capmatinib and tepotinib were initially approved in the United States by the FDA under accelerated approval in 2020 and 2021, followed by full approval in 2022 and 2024, respectively. In China, two other c-Met inhibitors, savolitinib and gumarontinib, in addition to vebreltinib (being developed and commercialized by our partner Avistone in China), are also approved for treatment of NSCLC with Met Exon 14 skipping, under conditional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Vebreltinib is a selective and potent inhibitor of the c-Met receptor kinase, which is overexpressed and/or mutated in several tumor types. Vebreltinib has demonstrated preclinical tumor inhibitory effect in a variety of human primary c-Met amplified gastric, hepatic, pancreatic and lung cancer xenograft models. Vebreltinib is an oral agent being evaluated in two ongoing Phase 2 multi-cohort pivotal studies (SPARTA, being conducted by Apollomics, and KUNPENG, being conducted by Avistone) primarily for evaluation of these indications: (i) NSCLC with Met Exon 14 skipping, (ii) NSCLC with c-Met amplification and (iii) other solid tumors with c-Met alterations, such as c-Met fusion or c-Met amplifications. We are actively enrolling new patients only for NSCLC with c-Met amplification, and continue to follow previously-enrolled patients in other SPARTA cohorts. Vebreltinib has also been evaluated in a randomized Phase 2/3 study in subjects with r/r glioblastoma multiforme (“GBM”) with PTRPZ1-MET fusions in China, which was reported to show a 48% reduction in the risk of death in vebreltinib treated patients relative to those on active comparator arm. Met Exon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14 skipping occurs in 3% to 4% of NSCLC, and has been reported to be associated with worse outcomes than in NSCLC without this c-Met alteration. National Comprehensive Cancer Network (“NCCN”) currently recommends c-Met inhibitor TKI monotherapy as first line treatment of choice for NSCLC with Met Exon 14 skipping. Vebreltinib is also being evaluated in an investigator-initiated Phase 1 study in combination with osimertinib in NSCLC subjects with EGFR mutations.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c-Met Pathway &amp; c-Met mutations/alterations in cancers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c-Met is a transmembrane, receptor tyrosine kinase. The extracellular portion of c-Met is composed of three domain types: (i) a ligand binding domain, the semaphorin (“Sema”) domain; (ii) a plexin-semaphorin-integrin (“PSI”) domain which follows the Sema domain; and (iii) four immunoglobulin-plexin-transcription domains, which connect the PSI domain to the transmembrane helix. Intracellularly, c-Met contains: (i) a juxtamembrane domain that negatively regulates c-Met; (ii) a tyrosine receptor kinase catalytic domain; and (iii) a docking site that recruits several transducers and adaptors when c-Met is active. c-Met is activated by the binding of its ligand, HGF.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c-Met, after binding with HGF, activates a variety of intracellular signaling pathways within the cell, including those involved in proliferation, motility, survival, morphogenesis and angiogenesis. In cancer cells, c-Met has been found to be aberrantly activated via mutation, amplification, gene fusion/rearrangement or protein overexpression. Aberrant c-Met signaling has been reported in a wide variety of human malignancies, including gastric, lung, colorectal, breast, bladder, head and neck, ovarian, prostate, thyroid and pancreatic tumors as well as sarcomas, hematologic malignancies and CNS tumors. Because of its pleotropic role in cellular processes important in oncogenesis and cancer progression, c-Met is an important target in anticancer therapy. Several molecules targeting c-Met have been evaluated in clinical trials, and two are approved for use in the United States.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finding that cancer cells often use c-Met activation to escape therapies targeting other pathways strengthens the rationale for c-Met-targeted therapeutics. In addition to the primary tumors with c-Met alterations that is associated with treatment resistance and worse treatment outcomes than those without c-Met alterations, c-Met amplification may also develop as part of treatment resistance following targeted TKI treatments against EGFR, ALK, and reactive oxygen species (ROS).</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c-Met signaling pathway</w:t>
      </w:r>
    </w:p>
    <w:p>
      <w:pPr>
        <w:pStyle w:val="TextBody"/>
        <w:bidi w:val="0"/>
        <w:jc w:val="center"/>
        <w:rPr/>
      </w:pPr>
      <w:r>
        <w:rPr/>
        <w:drawing>
          <wp:inline distT="0" distB="0" distL="0" distR="0">
            <wp:extent cx="3105150" cy="2876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05150" cy="2876550"/>
                    </a:xfrm>
                    <a:prstGeom prst="rect">
                      <a:avLst/>
                    </a:prstGeom>
                  </pic:spPr>
                </pic:pic>
              </a:graphicData>
            </a:graphic>
          </wp:inline>
        </w:drawing>
      </w:r>
    </w:p>
    <w:p>
      <w:pPr>
        <w:pStyle w:val="TextBody"/>
        <w:pBdr>
          <w:bottom w:val="single" w:sz="5"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Source: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Activation of c-Met induces biological responses via activation of various intracellular signaling pathways. Aberrant c-Met signaling in cancer cells can occur through a number of mechanisms, including c-Met protein overexpression, MET gene amplification, MET gene or fusion/rearrangement.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Met Exon 14 Skipping Mutation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Met Exon 14 gene mutations with functional impact have been found in various domains. Mutations in the Sema domain, which upregulate kinase activity or affect ligand binding of c-Met, have been found in cancers of unknown primary origin. Mutations in the catalytic region are observed in several tumor types, including papillary renal carcinoma, childhood hepatocellular carcinoma and lymph node metastases of head and neck squamous-cell carcinomas. Mutations in the splicing sites of Met Exon 14, the exon which encodes the juxtamembrane domain of c-Met, cause exon skipping and deletion of the entire juxtamembrane domain. Mutations in the splicing sites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Met Exon 14 have been found in various solid tumors, including lung cancers, and have recently been shown to occur in 3% to 4% of NSCLC adenocarcinomas, 2% of squamous cell carcinomas, and 1% to 8% of other subtypes of lung cancer. NSCLC with Met Exon 14 skipping is the only indication for which three other selective c-Met inhibitors have received regulatory approval: capmatinib received full approval from the FDA in August 2022 following original accelerated approval in 2020, tepotinib received full approval from the FDA in February 2024 following original accelerated approval from the FDA in 2021 and savolitinib received approval by the NMPA in 2021. Vebreltinib received approval from the NMPA in November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c-Met amplification</w:t>
      </w:r>
    </w:p>
    <w:p>
      <w:pPr>
        <w:pStyle w:val="TextBody"/>
        <w:bidi w:val="0"/>
        <w:spacing w:before="120" w:after="283"/>
        <w:jc w:val="left"/>
        <w:rPr>
          <w:rFonts w:ascii="Times New Roman" w:hAnsi="Times New Roman"/>
          <w:sz w:val="20"/>
        </w:rPr>
      </w:pPr>
      <w:r>
        <w:rPr>
          <w:rFonts w:ascii="Times New Roman" w:hAnsi="Times New Roman"/>
          <w:i/>
          <w:color w:val="000000"/>
          <w:sz w:val="20"/>
        </w:rPr>
        <w:t>c-Met</w:t>
      </w:r>
      <w:r>
        <w:rPr>
          <w:rFonts w:ascii="Times New Roman" w:hAnsi="Times New Roman"/>
          <w:color w:val="000000"/>
          <w:sz w:val="20"/>
        </w:rPr>
        <w:t xml:space="preserve"> amplification has been found to occur in many solid tumors. In NSCLC, amplification of MET typically occurs in about 2% to 5% of newly diagnosed adenocarcinomas. Furthermore, fluorescence in situ hybridization (“FISH”)-positive MET status predicts worse survival in subjects with advanced NSCLC. c-Met amplification is associated with worse outcomes. A retrospective study of 447 NSCLC patients with available tumor tissue from primary lung tumor and OS data demonstrated that increase in gene copy number (measuring the extent of amplification) is an independent negative prognostic factor in surgically resected NSCLC with an OS of 25.8 months for subjects with MET &gt; five copies/cell compared with 47.5 months for subjects with MET &lt; five copies/cell (p=0.0045). There is currently no approved treatment of tumors with c-MET amplification.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MET amplification may be occurring as part of the resistance mechanism in NSCLC patients treated with TKIs targeting other mutations such as EGFR, ALK and ROS. For example, up to 20% of NSCLC subjects with EGFR mutation developed c-Met amplification following treatment with EGFR TKI inhibitor like erlotinib, gefitinib, or osimertinib. Amplification of MET (and overexpression of the c-Met protein) is also a common event in brain metastases of NSCLC.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c-Met Fusion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recent study reported that gene fusions drive the development of 16.5% of cancer cases, and function as the sole driver in more than 1% of them. Gene fusions have served as specific targets for treatment, resulting in dramatically improved patient outcomes with multiple other gene fusion targets under investigation. Activation of c-Met signaling may also be driven by oncogenic fusion proteins, including translocated promoter region (“TPR”)-MET, CAP-Gly domain-containing linker protein 2 (“CLIP2”)-MET and TRK-fused gene (“TFG”)-MET, each of which contains the entire sequence downstream of the juxtamembrane domain of c-Met. MET fusions have been more frequently observed in high-grade gliomas and in gliomas treated with radiation or temozolomide. In one study reported by Bao et al. in 2014, out of 272 glioma samples that were analyzed, 67 in-frame fusion transcripts were identified, including three recurrent fusion transcripts: FGFR3-TACC3, RNF213-SLC26A11 and PTPRZ1-MET (i.e., ZM fusion). Clinically, patients afflicted with ZM fusion-harboring secondary glioblastoma multiforme (“GBM”) had poor survival relative to those with non-ZM-harboring secondary GBMs (P &lt; 0.001). The mutational landscape of 188 secondary GBMs was studied to find significant enrichment of TP53 mutations, somatic hypermutation, exon 14 skipping mutations, ZM fusions, and MET amplification. It was found that exon 14 skipping mutation frequently co-occurs with ZM fusion and is present in about 14% of cases with significantly worse prognosis. There is currently no approved treatment for tumors with c-MET fusion.</w:t>
      </w:r>
    </w:p>
    <w:p>
      <w:pPr>
        <w:pStyle w:val="TextBody"/>
        <w:bidi w:val="0"/>
        <w:spacing w:before="360" w:after="283"/>
        <w:jc w:val="left"/>
        <w:rPr>
          <w:rFonts w:ascii="Times New Roman" w:hAnsi="Times New Roman"/>
          <w:sz w:val="20"/>
        </w:rPr>
      </w:pPr>
      <w:r>
        <w:rPr>
          <w:rFonts w:ascii="Times New Roman" w:hAnsi="Times New Roman"/>
          <w:b/>
          <w:i/>
          <w:color w:val="000000"/>
          <w:sz w:val="20"/>
        </w:rPr>
        <w:t>Overview of vebreltinib c-Met Tyrosine Kinase Inhibitor (</w:t>
      </w:r>
      <w:r>
        <w:rPr>
          <w:rFonts w:ascii="Times New Roman" w:hAnsi="Times New Roman"/>
          <w:color w:val="000000"/>
          <w:sz w:val="20"/>
        </w:rPr>
        <w:t>“</w:t>
      </w:r>
      <w:r>
        <w:rPr>
          <w:rFonts w:ascii="Times New Roman" w:hAnsi="Times New Roman"/>
          <w:b/>
          <w:i/>
          <w:color w:val="000000"/>
          <w:sz w:val="20"/>
        </w:rPr>
        <w:t>TKI</w:t>
      </w:r>
      <w:r>
        <w:rPr>
          <w:rFonts w:ascii="Times New Roman" w:hAnsi="Times New Roman"/>
          <w:color w:val="000000"/>
          <w:sz w:val="20"/>
        </w:rPr>
        <w:t>”</w:t>
      </w:r>
      <w:r>
        <w:rPr>
          <w:rFonts w:ascii="Times New Roman" w:hAnsi="Times New Roman"/>
          <w:b/>
          <w:i/>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Vebreltinib is a small molecule, orally bioavailable ATP-competitive, type 1b inhibitor of the c-Met tyrosine kinase. In biochemical kinase screening assays, vebreltinib inhibited wild type c-Met and some of its mutants at subnanomolar concentrations. In an intracellular c-Met in vitro assay IC</w:t>
      </w:r>
      <w:r>
        <w:rPr>
          <w:rFonts w:ascii="Times New Roman" w:hAnsi="Times New Roman"/>
          <w:color w:val="000000"/>
          <w:sz w:val="13"/>
        </w:rPr>
        <w:t>50</w:t>
      </w:r>
      <w:r>
        <w:rPr>
          <w:rFonts w:ascii="Times New Roman" w:hAnsi="Times New Roman"/>
          <w:color w:val="000000"/>
          <w:sz w:val="20"/>
        </w:rPr>
        <w:t xml:space="preserve"> was 0.52 nM, which is relatively potent compared with other c-Met inhibitors. In addition to its potency and to extend its kinase selectivity profiling, the affinity of vebreltinib to different kinases was measured in a set of ~442 kinases and disease relevant variant using the KINOMEscan selectivity screening platform. At a screening concentration of 10 µM, only three kinases scored hits with the predefined cutoff of ≥65% reduction in binding to the capture matrix compared with vehicle control. These hits included c-Met and two mutant variants consequently confirming the high selectivity of vebreltinib for c-Met kinase.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Inhibition of c-Met kinase activity by vebreltinib was demonstrated by the attenuation of its autophosphorylation state as well as the phosphorylation of downstream signaling proteins in a dose-and time-dependent manner in various tumorigenic cell lines that highly express c-Met, including gastric, lung, hepatic and pancreatic cancer cells. Vebreltinib also inhibited the proliferation and survival of c-Met-dependent cancer cells, including cancer cell growth driven by specific c-Met mutations or amplification. Lastly, vebreltinib demonstrated anti-tumor activity against patient-derived human lung cancer xenografts with either Met Exon 14 skipping mutations, c-Met amplifications, or c-Met fusion implanted into nude mice. These studies support the proposed mechanism of action of vebreltinib and its activity in the proposed patient population.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MET alterations and oncogenic addiction</w:t>
      </w:r>
    </w:p>
    <w:p>
      <w:pPr>
        <w:pStyle w:val="TextBody"/>
        <w:bidi w:val="0"/>
        <w:jc w:val="center"/>
        <w:rPr/>
      </w:pPr>
      <w:r>
        <w:rPr/>
        <w:drawing>
          <wp:inline distT="0" distB="0" distL="0" distR="0">
            <wp:extent cx="5562600" cy="2714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62600" cy="2714625"/>
                    </a:xfrm>
                    <a:prstGeom prst="rect">
                      <a:avLst/>
                    </a:prstGeom>
                  </pic:spPr>
                </pic:pic>
              </a:graphicData>
            </a:graphic>
          </wp:inline>
        </w:drawing>
      </w:r>
    </w:p>
    <w:p>
      <w:pPr>
        <w:pStyle w:val="TextBody"/>
        <w:pBdr>
          <w:bottom w:val="single" w:sz="5"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Source: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Vebreltinib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formerly known as Crown Biotherapeutics (“CBT”), which was a subsidiary of Crown Bioscience International. Crown Bioscience International discovered vebreltinib and out-licensed the commercial rights for China (inclusive of Mainland China, Hong Kong, and Macau) to Beijing Pearl Biotechnology (“Pearl”) on November 7, 2012, now called Beijing Avistone Pharmaceuticals Biotechnology Co., Ltd (“Avistone”). Both Apollomics and Avistone have been advancing the development (CMC, preclinical, and clinical) of vebreltinib for the treatment of solid tumors with c-Met alterations.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late August 2025, due to severe cash constraints, the Company’s former management announced the expected discontinuation of all activities related to the SPARTA clinical trial. However, following the successful closing of a $4.1 million PIPE financing on September 3, 2025, and the appointment of a new Board of Directors and executive management team, the Company officially reversed its wind-down plans. The Company has secured its ongoing operations and is currently continuing the global Phase 2 trial of APL-101 (vebreltinib).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date, more than 600 patients and 170 healthy volunteers have been dosed with vebreltinib in clinical trials. The safety profile is generally acceptable.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Phase 1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Phase 1 NSCLC (HMO-PLB1001-2013012-01)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1 NSCLC study HMO-PLB1001-2013012-01 (N=37) was an open-label dose escalation (N=19) and expansion (N=18) study in which vebreltinib doses ranging from 50 mg twice daily (“BID”) to 275 mg BID and 300 mg once daily (“QD”) were evaluated in 37 Chinese subjects with NSCLC with c-Met dysregulation.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396" w:type="dxa"/>
        <w:jc w:val="left"/>
        <w:tblInd w:w="0" w:type="dxa"/>
        <w:tblLayout w:type="fixed"/>
        <w:tblCellMar>
          <w:top w:w="28" w:type="dxa"/>
          <w:left w:w="28" w:type="dxa"/>
          <w:bottom w:w="28" w:type="dxa"/>
          <w:right w:w="28" w:type="dxa"/>
        </w:tblCellMar>
      </w:tblPr>
      <w:tblGrid>
        <w:gridCol w:w="7396"/>
      </w:tblGrid>
      <w:tr>
        <w:trPr/>
        <w:tc>
          <w:tcPr>
            <w:tcW w:w="7396"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396" w:type="dxa"/>
            <w:tcBorders/>
            <w:tcMar>
              <w:top w:w="0" w:type="dxa"/>
              <w:left w:w="0" w:type="dxa"/>
              <w:bottom w:w="0" w:type="dxa"/>
              <w:right w:w="0" w:type="dxa"/>
            </w:tcMar>
            <w:vAlign w:val="center"/>
          </w:tcPr>
          <w:p>
            <w:pPr>
              <w:pStyle w:val="TableContents"/>
              <w:bidi w:val="0"/>
              <w:spacing w:before="360" w:after="120"/>
              <w:ind w:left="0" w:right="0" w:firstLine="720"/>
              <w:jc w:val="center"/>
              <w:rPr>
                <w:rFonts w:ascii="Times New Roman" w:hAnsi="Times New Roman"/>
                <w:b/>
                <w:color w:val="000000"/>
                <w:sz w:val="20"/>
              </w:rPr>
            </w:pPr>
            <w:r>
              <w:rPr>
                <w:rFonts w:ascii="Times New Roman" w:hAnsi="Times New Roman"/>
                <w:b/>
                <w:color w:val="000000"/>
                <w:sz w:val="20"/>
              </w:rPr>
              <w:t>HMO-PLB1001-2013012-01 Phase 1 Dose Escalation and Expansion Schema</w:t>
            </w:r>
          </w:p>
        </w:tc>
      </w:tr>
    </w:tbl>
    <w:p>
      <w:pPr>
        <w:pStyle w:val="TextBody"/>
        <w:bidi w:val="0"/>
        <w:jc w:val="center"/>
        <w:rPr/>
      </w:pPr>
      <w:r>
        <w:rPr/>
        <w:drawing>
          <wp:inline distT="0" distB="0" distL="0" distR="0">
            <wp:extent cx="5324475" cy="2390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24475" cy="239077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Overall Finding: The preliminary efficacy data for vebreltinib from the Phase 1 trial for treatment of NSCLC with Met Exon 14 skipping is shown in the table below with selection of 200 mg BID as recommended Phase 2 dose (“RP2D”). The maximum tolerated dose (“MTD”) was not reached (Yang et al. 2020).</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Efficacy Summary of Study HMO-PLB1001-2013012-01</w:t>
      </w:r>
    </w:p>
    <w:p>
      <w:pPr>
        <w:pStyle w:val="TextBody"/>
        <w:bidi w:val="0"/>
        <w:jc w:val="center"/>
        <w:rPr/>
      </w:pPr>
      <w:r>
        <w:rPr/>
        <w:drawing>
          <wp:inline distT="0" distB="0" distL="0" distR="0">
            <wp:extent cx="4305300" cy="3267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05300" cy="326707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 – partial response; SD – stable disease; ORR – objective response rate (complete response (CR) + PR); DCR – disease control rate (CR + PR + SD). Note that the FDA does not consider SD as a response or DCR for regulatory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the 37 subjects in the dose escalation phase and dose expansion phase of the Phase 1 vebreltinib clinical trial, no occurrence of dose-limiting toxicity and maximum tolerated dose (“MTD”) were observed, and the drug-related adverse events (“AE”) were mainly Common Terminology for Adverse Events grade 1-2. Most AEs were common adverse events of small-molecule targeted therapy tyrosine kinase inhibitor drugs and similar c-Met inhibitors, such as increased transaminases, peripheral edema, increased lipase and increased amylase. Of the 15 serious adverse events (“SAEs”) reported in ten subjects, five SAEs in four subjects were considered related to study drug: three events of abnormal liver function in two subjects (one treated with 200 mg BID and the other with 300 mg QD); one event of bilirubin elevation in a subject treated with 275 mg BID; and one event of peripheral edema in a subject treated with 200 mg BID. The abnormal liver enzyme abnormality SAEs and bilirubin elevation SAEs improved to baseline or Grade 1 AE upon study drug discontinuation.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Safety summary of Study HMO-PLB1001-2013012-01</w:t>
      </w:r>
    </w:p>
    <w:p>
      <w:pPr>
        <w:pStyle w:val="TextBody"/>
        <w:bidi w:val="0"/>
        <w:jc w:val="center"/>
        <w:rPr/>
      </w:pPr>
      <w:r>
        <w:rPr/>
        <w:drawing>
          <wp:inline distT="0" distB="0" distL="0" distR="0">
            <wp:extent cx="4914900" cy="3667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914900" cy="36671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exposure increased with the increase in dose during the dose escalation phase in the Phase 1 vebreltinib clinical trial for NSCLC indications. After the drug reached a steady state drug concentration, the drug concentration in different dose groups showed dose correlation.</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Steady-State Drug Concentration of Vebreltinib in Phase I Study in NSCLC subjects (HMO-PLB1001-2013012-01)</w:t>
      </w:r>
    </w:p>
    <w:p>
      <w:pPr>
        <w:pStyle w:val="TextBody"/>
        <w:bidi w:val="0"/>
        <w:jc w:val="center"/>
        <w:rPr/>
      </w:pPr>
      <w:r>
        <w:rPr/>
        <w:drawing>
          <wp:inline distT="0" distB="0" distL="0" distR="0">
            <wp:extent cx="2371725" cy="1781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71725" cy="1781175"/>
                    </a:xfrm>
                    <a:prstGeom prst="rect">
                      <a:avLst/>
                    </a:prstGeom>
                  </pic:spPr>
                </pic:pic>
              </a:graphicData>
            </a:graphic>
          </wp:inline>
        </w:drawing>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Avistone (China) Phase 1 Glioblastoma Multiforme Trial- Study HMO-PLB1001-I-GBM-01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HMO-PLB1001-I-GBM-01 (sponsored by Avistone) was a Phase 1, open-label dose-escalation and expansion study of vebreltinib to assess safety and tolerability, and to determine the RP2D of vebreltinib in subjects with PTPRZ1-MET fusion-gene (ZM fusion) positive recurrent high-grade gliomas. Treatment in this study has been completed. A total of 18 subjects were enrolled in four dose cohorts: four at 100 mg/day (50 mg BID), four at 200 mg/day (100 mg BID), three at 400 mg/day (200 mg BID) and seven at 600 mg/day (300 mg BID). The RP2D has been determined to be 300 mg BID.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Treatment-emergent AEs were reported by 17 subjects. Grade ≥ 3 events were reported for five subjects. Vebreltinib related Grade ≥ 3 were reported for three subjects. Three subjects experienced three serious adverse events, one of which (cerebrovascular accident) was considered possibly related to the study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Efficacy data in the six evaluable subjects with secondary GBM is as follows: two (33%) achieved PR, two (33%) achieved SD; the ORR (CR+PR) was 33%; the DCR (CR+PR+SD) was 67%; the 6-month survival was &gt; 67% (4/6); median overall survival was &gt; 9 months. Furthermore, the concentration of vebreltinib in the CSF increased with increasing dose, consistent with plasma exposure. The concentration in CSF was about 5% of the steady-state plasma.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APL-101-01 Phase 1/2 Study in Subjects with solid tumors with c-Met dysregulation — Phase 1 Component (U.S.) – by Apollomics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APL-101-01 (SPARTA) is an open-label Phase 1/2 clinical study (conducted by Apollomics), which has two key components. The Phase 1 component with n=17, which has been completed, was a dose escalation study to evaluate tolerability and pharmacokinetics of vebreltinib 50 mg BID to 200 mg BID in U.S. subjects with solid tumors with c-Met alterations. Vebreltinib was well tolerated without reaching MTD, and the PK results further support the selection of 200 mg BID as RP2D for NSCLC. Signals of potential durable (&gt; 2 years) efficacy (by achieving partial response) was first observed in a subject with recurrent metastatic Schwannoma with c-Met expression as well as in a subject with recurrent GBM with c-Met amplification previously treated with Temodar, Avastin and Nivolumab. Of the three SAEs reported in three subjects, one SAE of hyponatremia was considered related to the study drug.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APOLLO Phase 1/2 study in Australia, 20 subjects with locally advanced or metastatic hepatocellular carcinoma (“HCC”) or renal cell carcinoma (“RCC”) were treated with vebreltinib in combination with a PD-1 antibody (APL-501 in HCC, nivolumab in RCC). Treatment in this study was completed in the first half of 2022. We are currently completing data analysis for this trial.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an ongoing investigator-sponsored trial of vebreltinib in combination with osimertinib at Washington University School of Medicine, clinicians are exploring the safety and efficacy of combining vebreltinib with frontline osimertinib in subjects with EGFR-mutated metastatic NSCLC. Based on our discussions with the clinical investigators, no safety concerns have been observed in this trial to date.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Phase 1 studies in Healthy Volunteers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number of vebreltinib clinical pharmacology studies in healthy volunteers are summarized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Completed by Apollomics: APL-101-02 (N=16) — bioequivalence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study by Apollomics: APL-101-03 (N=64) — bioequivalence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Completed by Avistone: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PLB1001-1c-01 (N=16) — food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PLB1001-1d-01 (N=6) — mass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PLB1001-1e-01 (N=36) — drug-drug interaction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R01220097 (N=39) — bioequivalence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Phase 2 SPARTA Study of Vebreltinib in Subjects with NSCLC with Met Exon 14 Skipping Mutations and c-Met Dysregulation Advanced Solid Tumors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Phase 2 component of our SPARTA clinical study, APL-101-01 is an ongoing open-label multi-cohort study for evaluation of efficacy and safety of vebreltinib for the treatment of a number of solid tumors, including NSCLC with Met Exon 14 skipping, NSCLC with c-Met amplification, brain tumors with MET fusion or MET amplification and other solid tumors with MET amplification or MET fusion. The table below summarizes the cohorts in the Phase 2 portion of the SPARTA study.</w:t>
      </w:r>
    </w:p>
    <w:p>
      <w:pPr>
        <w:pStyle w:val="TextBody"/>
        <w:bidi w:val="0"/>
        <w:jc w:val="left"/>
        <w:rPr/>
      </w:pPr>
      <w:r>
        <w:rPr/>
        <w:t> </w:t>
      </w:r>
    </w:p>
    <w:tbl>
      <w:tblPr>
        <w:tblW w:w="4418" w:type="dxa"/>
        <w:jc w:val="left"/>
        <w:tblInd w:w="0" w:type="dxa"/>
        <w:tblLayout w:type="fixed"/>
        <w:tblCellMar>
          <w:top w:w="28" w:type="dxa"/>
          <w:left w:w="28" w:type="dxa"/>
          <w:bottom w:w="28" w:type="dxa"/>
          <w:right w:w="28" w:type="dxa"/>
        </w:tblCellMar>
      </w:tblPr>
      <w:tblGrid>
        <w:gridCol w:w="4418"/>
      </w:tblGrid>
      <w:tr>
        <w:trPr/>
        <w:tc>
          <w:tcPr>
            <w:tcW w:w="4418"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4418" w:type="dxa"/>
            <w:tcBorders>
              <w:top w:val="single" w:sz="5" w:space="0" w:color="000000"/>
              <w:left w:val="single" w:sz="5" w:space="0" w:color="000000"/>
              <w:bottom w:val="single" w:sz="5" w:space="0" w:color="000000"/>
              <w:right w:val="single" w:sz="5"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A1</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EXON 14 Skipping NSCLC (MET inhibitor naïve)</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 xml:space="preserve">1L (N up to 80) </w:t>
            </w:r>
          </w:p>
        </w:tc>
      </w:tr>
    </w:tbl>
    <w:p>
      <w:pPr>
        <w:pStyle w:val="TextBody"/>
        <w:bidi w:val="0"/>
        <w:jc w:val="left"/>
        <w:rPr/>
      </w:pPr>
      <w:r>
        <w:rPr/>
        <w:t> </w:t>
      </w:r>
    </w:p>
    <w:tbl>
      <w:tblPr>
        <w:tblW w:w="4463" w:type="dxa"/>
        <w:jc w:val="left"/>
        <w:tblInd w:w="0" w:type="dxa"/>
        <w:tblLayout w:type="fixed"/>
        <w:tblCellMar>
          <w:top w:w="28" w:type="dxa"/>
          <w:left w:w="28" w:type="dxa"/>
          <w:bottom w:w="28" w:type="dxa"/>
          <w:right w:w="28" w:type="dxa"/>
        </w:tblCellMar>
      </w:tblPr>
      <w:tblGrid>
        <w:gridCol w:w="4463"/>
      </w:tblGrid>
      <w:tr>
        <w:trPr/>
        <w:tc>
          <w:tcPr>
            <w:tcW w:w="4463"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4463" w:type="dxa"/>
            <w:tcBorders>
              <w:top w:val="single" w:sz="5" w:space="0" w:color="000000"/>
              <w:left w:val="single" w:sz="5" w:space="0" w:color="000000"/>
              <w:bottom w:val="single" w:sz="5" w:space="0" w:color="000000"/>
              <w:right w:val="single" w:sz="5"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A2</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 xml:space="preserve">EXON 14 Skipping NSCLC (MET inhibitor naïve) </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2L/3L (N up to 90)</w:t>
            </w:r>
          </w:p>
        </w:tc>
      </w:tr>
    </w:tbl>
    <w:p>
      <w:pPr>
        <w:pStyle w:val="TextBody"/>
        <w:bidi w:val="0"/>
        <w:jc w:val="left"/>
        <w:rPr/>
      </w:pPr>
      <w:r>
        <w:rPr/>
        <w:t> </w:t>
      </w:r>
    </w:p>
    <w:tbl>
      <w:tblPr>
        <w:tblW w:w="5963" w:type="dxa"/>
        <w:jc w:val="left"/>
        <w:tblInd w:w="0" w:type="dxa"/>
        <w:tblLayout w:type="fixed"/>
        <w:tblCellMar>
          <w:top w:w="28" w:type="dxa"/>
          <w:left w:w="28" w:type="dxa"/>
          <w:bottom w:w="28" w:type="dxa"/>
          <w:right w:w="28" w:type="dxa"/>
        </w:tblCellMar>
      </w:tblPr>
      <w:tblGrid>
        <w:gridCol w:w="5963"/>
      </w:tblGrid>
      <w:tr>
        <w:trPr/>
        <w:tc>
          <w:tcPr>
            <w:tcW w:w="5963"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5963" w:type="dxa"/>
            <w:tcBorders>
              <w:top w:val="single" w:sz="5" w:space="0" w:color="000000"/>
              <w:left w:val="single" w:sz="5" w:space="0" w:color="000000"/>
              <w:bottom w:val="single" w:sz="5" w:space="0" w:color="000000"/>
              <w:right w:val="single" w:sz="5"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B</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EXON 14 Skipping NSCLC (MET inhibitor experienced) - completed</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(Stage 1=10, Stage 2=19)</w:t>
            </w:r>
          </w:p>
        </w:tc>
      </w:tr>
    </w:tbl>
    <w:p>
      <w:pPr>
        <w:pStyle w:val="TextBody"/>
        <w:bidi w:val="0"/>
        <w:jc w:val="left"/>
        <w:rPr/>
      </w:pPr>
      <w:r>
        <w:rPr/>
        <w:t> </w:t>
      </w:r>
    </w:p>
    <w:tbl>
      <w:tblPr>
        <w:tblW w:w="7868" w:type="dxa"/>
        <w:jc w:val="left"/>
        <w:tblInd w:w="0" w:type="dxa"/>
        <w:tblLayout w:type="fixed"/>
        <w:tblCellMar>
          <w:top w:w="28" w:type="dxa"/>
          <w:left w:w="28" w:type="dxa"/>
          <w:bottom w:w="28" w:type="dxa"/>
          <w:right w:w="28" w:type="dxa"/>
        </w:tblCellMar>
      </w:tblPr>
      <w:tblGrid>
        <w:gridCol w:w="7868"/>
      </w:tblGrid>
      <w:tr>
        <w:trPr/>
        <w:tc>
          <w:tcPr>
            <w:tcW w:w="7868"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7868" w:type="dxa"/>
            <w:tcBorders>
              <w:top w:val="single" w:sz="5" w:space="0" w:color="000000"/>
              <w:left w:val="single" w:sz="5" w:space="0" w:color="000000"/>
              <w:bottom w:val="single" w:sz="5" w:space="0" w:color="000000"/>
              <w:right w:val="single" w:sz="5"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C</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Basket of tumor types except primary CNS tumors, MET amplification (MET inhibitor naïve)</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(N up to 80)</w:t>
            </w:r>
          </w:p>
        </w:tc>
      </w:tr>
    </w:tbl>
    <w:p>
      <w:pPr>
        <w:pStyle w:val="TextBody"/>
        <w:bidi w:val="0"/>
        <w:jc w:val="left"/>
        <w:rPr/>
      </w:pPr>
      <w:r>
        <w:rPr/>
        <w:t> </w:t>
      </w:r>
    </w:p>
    <w:tbl>
      <w:tblPr>
        <w:tblW w:w="6953" w:type="dxa"/>
        <w:jc w:val="left"/>
        <w:tblInd w:w="0" w:type="dxa"/>
        <w:tblLayout w:type="fixed"/>
        <w:tblCellMar>
          <w:top w:w="28" w:type="dxa"/>
          <w:left w:w="28" w:type="dxa"/>
          <w:bottom w:w="28" w:type="dxa"/>
          <w:right w:w="28" w:type="dxa"/>
        </w:tblCellMar>
      </w:tblPr>
      <w:tblGrid>
        <w:gridCol w:w="6953"/>
      </w:tblGrid>
      <w:tr>
        <w:trPr/>
        <w:tc>
          <w:tcPr>
            <w:tcW w:w="6953"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6953" w:type="dxa"/>
            <w:tcBorders>
              <w:top w:val="single" w:sz="5" w:space="0" w:color="000000"/>
              <w:left w:val="single" w:sz="5" w:space="0" w:color="000000"/>
              <w:bottom w:val="single" w:sz="5" w:space="0" w:color="000000"/>
              <w:right w:val="single" w:sz="5"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C-1</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NSCLC harboring MET amplification and wild-type EGFR (MET inhibitor naïve)</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(N up to 46)</w:t>
            </w:r>
          </w:p>
        </w:tc>
      </w:tr>
    </w:tbl>
    <w:p>
      <w:pPr>
        <w:pStyle w:val="TextBody"/>
        <w:bidi w:val="0"/>
        <w:jc w:val="left"/>
        <w:rPr/>
      </w:pPr>
      <w:r>
        <w:rPr/>
        <w:t> </w:t>
      </w:r>
    </w:p>
    <w:tbl>
      <w:tblPr>
        <w:tblW w:w="7838" w:type="dxa"/>
        <w:jc w:val="left"/>
        <w:tblInd w:w="0" w:type="dxa"/>
        <w:tblLayout w:type="fixed"/>
        <w:tblCellMar>
          <w:top w:w="28" w:type="dxa"/>
          <w:left w:w="28" w:type="dxa"/>
          <w:bottom w:w="28" w:type="dxa"/>
          <w:right w:w="28" w:type="dxa"/>
        </w:tblCellMar>
      </w:tblPr>
      <w:tblGrid>
        <w:gridCol w:w="7838"/>
      </w:tblGrid>
      <w:tr>
        <w:trPr/>
        <w:tc>
          <w:tcPr>
            <w:tcW w:w="7838"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7838" w:type="dxa"/>
            <w:tcBorders>
              <w:top w:val="single" w:sz="5" w:space="0" w:color="000000"/>
              <w:left w:val="single" w:sz="5" w:space="0" w:color="000000"/>
              <w:bottom w:val="single" w:sz="5" w:space="0" w:color="000000"/>
              <w:right w:val="single" w:sz="5"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C-2</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EGFR mutated NSCLC with acquired MET amplification (add APLL-101 to EGFR inhibitor)</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(N up to 46)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633" w:type="dxa"/>
        <w:jc w:val="left"/>
        <w:tblInd w:w="0" w:type="dxa"/>
        <w:tblLayout w:type="fixed"/>
        <w:tblCellMar>
          <w:top w:w="28" w:type="dxa"/>
          <w:left w:w="28" w:type="dxa"/>
          <w:bottom w:w="28" w:type="dxa"/>
          <w:right w:w="28" w:type="dxa"/>
        </w:tblCellMar>
      </w:tblPr>
      <w:tblGrid>
        <w:gridCol w:w="8633"/>
      </w:tblGrid>
      <w:tr>
        <w:trPr/>
        <w:tc>
          <w:tcPr>
            <w:tcW w:w="8633"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8633" w:type="dxa"/>
            <w:tcBorders>
              <w:top w:val="single" w:sz="5" w:space="0" w:color="000000"/>
              <w:left w:val="single" w:sz="5" w:space="0" w:color="000000"/>
              <w:bottom w:val="single" w:sz="5" w:space="0" w:color="000000"/>
              <w:right w:val="single" w:sz="5"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D</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Basket of tumor types except primary CNS tumors, harboring MET gene fusions (MET inhibitor naïve)</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(Stage 1=10, Stage 2 up to 36)</w:t>
            </w:r>
          </w:p>
        </w:tc>
      </w:tr>
    </w:tbl>
    <w:tbl>
      <w:tblPr>
        <w:tblW w:w="5588" w:type="dxa"/>
        <w:jc w:val="left"/>
        <w:tblInd w:w="0" w:type="dxa"/>
        <w:tblLayout w:type="fixed"/>
        <w:tblCellMar>
          <w:top w:w="28" w:type="dxa"/>
          <w:left w:w="28" w:type="dxa"/>
          <w:bottom w:w="28" w:type="dxa"/>
          <w:right w:w="28" w:type="dxa"/>
        </w:tblCellMar>
      </w:tblPr>
      <w:tblGrid>
        <w:gridCol w:w="5588"/>
      </w:tblGrid>
      <w:tr>
        <w:trPr/>
        <w:tc>
          <w:tcPr>
            <w:tcW w:w="5588"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5588" w:type="dxa"/>
            <w:tcBorders>
              <w:top w:val="single" w:sz="5" w:space="0" w:color="000000"/>
              <w:left w:val="single" w:sz="5" w:space="0" w:color="000000"/>
              <w:bottom w:val="single" w:sz="5" w:space="0" w:color="000000"/>
              <w:right w:val="single" w:sz="5"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E</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Primary CNS tumors with MET alterations (MET inhibitor naïve)</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(Stage 1=14, Stage 2 up to 26)</w:t>
            </w:r>
          </w:p>
        </w:tc>
      </w:tr>
    </w:tbl>
    <w:p>
      <w:pPr>
        <w:pStyle w:val="TextBody"/>
        <w:bidi w:val="0"/>
        <w:jc w:val="left"/>
        <w:rPr/>
      </w:pPr>
      <w:r>
        <w:rPr/>
        <w:t> </w:t>
      </w:r>
    </w:p>
    <w:tbl>
      <w:tblPr>
        <w:tblW w:w="7553" w:type="dxa"/>
        <w:jc w:val="left"/>
        <w:tblInd w:w="0" w:type="dxa"/>
        <w:tblLayout w:type="fixed"/>
        <w:tblCellMar>
          <w:top w:w="28" w:type="dxa"/>
          <w:left w:w="28" w:type="dxa"/>
          <w:bottom w:w="28" w:type="dxa"/>
          <w:right w:w="28" w:type="dxa"/>
        </w:tblCellMar>
      </w:tblPr>
      <w:tblGrid>
        <w:gridCol w:w="7553"/>
      </w:tblGrid>
      <w:tr>
        <w:trPr/>
        <w:tc>
          <w:tcPr>
            <w:tcW w:w="7553" w:type="dxa"/>
            <w:tcBorders/>
            <w:vAlign w:val="center"/>
          </w:tcPr>
          <w:p>
            <w:pPr>
              <w:pStyle w:val="TableContents"/>
              <w:bidi w:val="0"/>
              <w:spacing w:before="0" w:after="283"/>
              <w:ind w:left="0" w:right="0" w:firstLine="157"/>
              <w:jc w:val="left"/>
              <w:rPr>
                <w:sz w:val="4"/>
                <w:szCs w:val="4"/>
              </w:rPr>
            </w:pPr>
            <w:r>
              <w:rPr>
                <w:sz w:val="4"/>
                <w:szCs w:val="4"/>
              </w:rPr>
            </w:r>
          </w:p>
        </w:tc>
      </w:tr>
      <w:tr>
        <w:trPr/>
        <w:tc>
          <w:tcPr>
            <w:tcW w:w="7553" w:type="dxa"/>
            <w:tcBorders>
              <w:top w:val="single" w:sz="4" w:space="0" w:color="000000"/>
              <w:left w:val="single" w:sz="4" w:space="0" w:color="000000"/>
              <w:bottom w:val="single" w:sz="4" w:space="0" w:color="000000"/>
              <w:right w:val="single" w:sz="4" w:space="0" w:color="000000"/>
            </w:tcBorders>
            <w:vAlign w:val="center"/>
          </w:tcPr>
          <w:p>
            <w:pPr>
              <w:pStyle w:val="TableContents"/>
              <w:bidi w:val="0"/>
              <w:ind w:left="0" w:right="0" w:firstLine="157"/>
              <w:jc w:val="center"/>
              <w:rPr>
                <w:rFonts w:ascii="Times New Roman" w:hAnsi="Times New Roman"/>
                <w:b/>
                <w:color w:val="000000"/>
                <w:sz w:val="20"/>
              </w:rPr>
            </w:pPr>
            <w:r>
              <w:rPr>
                <w:rFonts w:ascii="Times New Roman" w:hAnsi="Times New Roman"/>
                <w:b/>
                <w:color w:val="000000"/>
                <w:sz w:val="20"/>
              </w:rPr>
              <w:t>Cohort F</w:t>
            </w:r>
          </w:p>
          <w:p>
            <w:pPr>
              <w:pStyle w:val="TableContents"/>
              <w:bidi w:val="0"/>
              <w:ind w:left="0" w:right="0" w:firstLine="157"/>
              <w:jc w:val="center"/>
              <w:rPr>
                <w:rFonts w:ascii="Times New Roman" w:hAnsi="Times New Roman"/>
                <w:color w:val="000000"/>
                <w:sz w:val="20"/>
              </w:rPr>
            </w:pPr>
            <w:r>
              <w:rPr>
                <w:rFonts w:ascii="Times New Roman" w:hAnsi="Times New Roman"/>
                <w:color w:val="000000"/>
                <w:sz w:val="20"/>
              </w:rPr>
              <w:t>Basket of tumor types with over expression of HGF &amp; Over-expression of MET; MET WT</w:t>
            </w:r>
          </w:p>
          <w:p>
            <w:pPr>
              <w:pStyle w:val="TableContents"/>
              <w:bidi w:val="0"/>
              <w:spacing w:before="0" w:after="283"/>
              <w:ind w:left="0" w:right="0" w:firstLine="157"/>
              <w:jc w:val="center"/>
              <w:rPr>
                <w:rFonts w:ascii="Times New Roman" w:hAnsi="Times New Roman"/>
                <w:color w:val="000000"/>
                <w:sz w:val="20"/>
              </w:rPr>
            </w:pPr>
            <w:r>
              <w:rPr>
                <w:rFonts w:ascii="Times New Roman" w:hAnsi="Times New Roman"/>
                <w:color w:val="000000"/>
                <w:sz w:val="20"/>
              </w:rPr>
              <w:t>(Stage 1=10, Stage 2 up to 30)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Apollomics is currently conducting the ongoing Phase 2 portion of the global SPARTA study at approximately 25 study sites in over 10 countries in North America, Europe and Asia-Pacific. Approximately 15 patients continue to receive vebreltinib. As of the date of this Annual Report, over 282 subjects have enrolled in the SPARTA study, including subjects with NSCLC with Met Exon 14 skipping or with MET amplification, brain tumors with PTPRZ1-MET fusion, and subjects with other solid tumors with MET alterations like MET amplification or MET fusion.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primary endpoint of the ongoing Phase 2 portion of the SPARTA study is objective response rate (“ORR”) per blinded independent review committee by RECIST v.1.1 for NSCLC and other solid tumors and by Response Assessment in Neuro-Oncology for brain tumors, with median duration of response (“DOR”) as a secondary endpoint. Additional secondary endpoints include ORR per investigator assessment based on RECIST v1.1, antitumor activity by clinical benefit rate (CR + PR + SD ≥ 4 cycles) based on RECIST v1.1 (or relevant criteria per tumor type), median time to progression, and progression free survival (“PFS”) and overall survival (“OS”) at 6, 12, 18 and 24 months.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Phase 2 KUNPENG Study of vebreltinib in Chinese NSCLC subjects with Met Exon 14 skipping or MET amplification (conducted by Avistone)</w:t>
      </w:r>
    </w:p>
    <w:p>
      <w:pPr>
        <w:pStyle w:val="TextBody"/>
        <w:bidi w:val="0"/>
        <w:spacing w:before="360" w:after="120"/>
        <w:jc w:val="center"/>
        <w:rPr>
          <w:rFonts w:ascii="Times New Roman" w:hAnsi="Times New Roman"/>
          <w:color w:val="000000"/>
          <w:sz w:val="20"/>
        </w:rPr>
      </w:pPr>
      <w:r>
        <w:rPr>
          <w:rFonts w:ascii="Times New Roman" w:hAnsi="Times New Roman"/>
          <w:color w:val="000000"/>
          <w:sz w:val="20"/>
        </w:rPr>
        <w:t>PLB1001-II-NSCLC-01 Study Design</w:t>
      </w:r>
    </w:p>
    <w:p>
      <w:pPr>
        <w:pStyle w:val="TextBody"/>
        <w:bidi w:val="0"/>
        <w:jc w:val="center"/>
        <w:rPr/>
      </w:pPr>
      <w:r>
        <w:rPr/>
        <w:drawing>
          <wp:inline distT="0" distB="0" distL="0" distR="0">
            <wp:extent cx="4962525" cy="1981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962525" cy="19812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Phase 2 PLB1001-II-NSCLC-01 (KUNPENG Study) in Chinese NSCLC subjects with Met Exon 14 skipping or MET amplification was conducted by Avistone. Enrollment of locally advanced or metastatic NSCLC subjects with Met Exon 14 skipping was completed in 2021. An NDA was submitted to NMPA in September 2022. The enrollment of NSCLC with MET amplification is ongoing. The primary efficacy endpoint is objective ORR per RECIST v 1.1. The secondary efficacy endpoints include PFS, OS, disease control rate (“DCR”), TTR and DOR.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Efficacy and safety data from the Met Exon 14 skipping NSCLC cohort from KUNPENG Study were presented at the European Society of Medical Oncology Congress 2023. Of the 52 patients, 39 achieved complete or partial response, an ORR of 75% (95% CI, 61.1–86.0), median duration of response (DOR) of 15.9 months (95% CI, 9.2–17.8), a high disease control rate (DCR) of 96.2% (95% CI, 86.8–99.5). and a notably rapid onset of response with a median time to response of 1 month (95% CI, 1–2.8). In the 35 treatment-naïve patients, ORR was 77.1% (95% CI, 59.9–89.6), with median DOR of 16.5 months (95% CI, 9.2–NE). In the 17 patients who received prior systemic treatment, ORR was 70.6% (95% CI, 44.0–89.7), with median DOR of 15.3 months (95% CI, 3.7–17.8). Vebreltinib showed efficacy in patients with locally advanced or metastatic NSCLC harboring Exon-14 skipping mutations, with an ORR of 75%. Among other notable findings in the KUNPENG study, ORR and disease control rate (DCR) were 100% in patients with brain metastases (n=5) and ORR was 66.7% in patients with liver metastases (n=6).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Interim efficacy and safety data from the global multi-cohort Phase 2 SPARTA trial (NCT03175224) and from the multi-cohort Phase 2 KUNPENG trial (NCT04258033) were presented at the 2023 IASLC North America Conference on Lung Cancer (“NACLC”) that was held December 1–3, 2023, in Chicago, Illinois. Vebreltinib appears efficacious in non-small cell lung cancer (“NSCLC”)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 MetExon14 skipping mutation with or without co-occurring MET amplification. Of the first 83 NSCLC patients with MetExon14 skipping mutation with available gene copy number (“GCN”) data from the Phase 2 KUNPENG and SPARTA trials, 91.6% did not have co-occurring MET amplifications, reflecting the real-world distribution of the NSCLC patients with MetExon14 skipping mutation from two large public databases (83.6% and 91.9%). NSCLC patients with MetExon14 skipping mutation without co-occurring MET amplification (gene copy number or GCN &lt; 4) from the KUNPENG and SPARTA trials showed an overall response rate (ORR) of 64.5% and a median duration of response (DOR) of 15.9 months, and those with overlapping MET amplification (GCN ≥ 4) achieved ORR of 85.7%.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presentation may represent the first publicly available analysis on a c-Met inhibitor in treatment of NSCLC with MET exon14 skipping mutation, in which the GCN distribution in the study population resembles the real world (large public database) and the treatment can achieve sufficient efficacy (with ORR of 64.5%) in those without overlapping c-Met amplification, a subgroup representing over 83% of NSCLC with Met Exon 14 skipping, an important patient population previously reported in other c-Met inhibitor pivotal trials that supported U.S. or China approvals with substantially lower ORR.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Vebreltinib Development and Regulatory Status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partner, Avistone (which wholly owns Beijing Pearl) conducts all vebreltinib development, regulatory, manufacturing, and commercialization activities in China. Vebreltinib was conditionally approved by the China NMPA in November 2023 for the treatment of locally advanced or metastatic NSCLC with Met Exon 14 skipping mutation, and Avistone has launched commercial sales. In 2023, Avistone submitted a supplemental NDA (“sNDA”) for the treatment of PTPRZ1-MET fusion-positive secondary glioblastoma, which was approved by the China NMPA in April 2024. In June 2025, Avistone received approval from the NMPA for vebreltinib for the treatment of MET-amplified NSCLC.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Vebreltinib Global Clinical Development Strategy &amp; Plans (including the U.S., EU, and Rest of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pursuing the three initial indications below while exploring the treatment of other solid tumors with c-Met alterations like c-Met amplification or c-Met fusion with vebreltinib: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NSCLC with Met Exon 14 skipping;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NSCLC with c-Met amplification;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GBM with c-Met dysregulation.</w:t>
      </w:r>
    </w:p>
    <w:p>
      <w:pPr>
        <w:pStyle w:val="TextBody"/>
        <w:bidi w:val="0"/>
        <w:spacing w:before="360" w:after="283"/>
        <w:jc w:val="left"/>
        <w:rPr>
          <w:rFonts w:ascii="Times New Roman" w:hAnsi="Times New Roman"/>
          <w:sz w:val="20"/>
        </w:rPr>
      </w:pPr>
      <w:r>
        <w:rPr>
          <w:rFonts w:ascii="Times New Roman" w:hAnsi="Times New Roman"/>
          <w:i/>
          <w:color w:val="000000"/>
          <w:sz w:val="20"/>
        </w:rPr>
        <w:t>NSCLC with</w:t>
      </w:r>
      <w:r>
        <w:rPr>
          <w:rFonts w:ascii="Times New Roman" w:hAnsi="Times New Roman"/>
          <w:color w:val="000000"/>
          <w:sz w:val="20"/>
        </w:rPr>
        <w:t xml:space="preserve"> </w:t>
      </w:r>
      <w:r>
        <w:rPr>
          <w:rFonts w:ascii="Times New Roman" w:hAnsi="Times New Roman"/>
          <w:i/>
          <w:color w:val="000000"/>
          <w:sz w:val="20"/>
        </w:rPr>
        <w:t>c-Met</w:t>
      </w:r>
      <w:r>
        <w:rPr>
          <w:rFonts w:ascii="Times New Roman" w:hAnsi="Times New Roman"/>
          <w:color w:val="000000"/>
          <w:sz w:val="20"/>
        </w:rPr>
        <w:t xml:space="preserve"> </w:t>
      </w:r>
      <w:r>
        <w:rPr>
          <w:rFonts w:ascii="Times New Roman" w:hAnsi="Times New Roman"/>
          <w:i/>
          <w:color w:val="000000"/>
          <w:sz w:val="20"/>
        </w:rPr>
        <w:t>dysregulation indications:</w:t>
      </w:r>
      <w:r>
        <w:rPr>
          <w:rFonts w:ascii="Times New Roman" w:hAnsi="Times New Roman"/>
          <w:color w:val="000000"/>
          <w:sz w:val="20"/>
        </w:rPr>
        <w:t xml:space="preserve"> </w:t>
      </w:r>
      <w:r>
        <w:rPr>
          <w:rFonts w:ascii="Times New Roman" w:hAnsi="Times New Roman"/>
          <w:i/>
          <w:color w:val="000000"/>
          <w:sz w:val="20"/>
        </w:rPr>
        <w:t>Met Exon 14 skipping and those with</w:t>
      </w:r>
      <w:r>
        <w:rPr>
          <w:rFonts w:ascii="Times New Roman" w:hAnsi="Times New Roman"/>
          <w:color w:val="000000"/>
          <w:sz w:val="20"/>
        </w:rPr>
        <w:t xml:space="preserve"> c-Met </w:t>
      </w:r>
      <w:r>
        <w:rPr>
          <w:rFonts w:ascii="Times New Roman" w:hAnsi="Times New Roman"/>
          <w:i/>
          <w:color w:val="000000"/>
          <w:sz w:val="20"/>
        </w:rPr>
        <w:t>amplification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Lung cancer is a leading cause of cancer death, and NSCLC comprises 85% of lung cancers. Among subjects with NSCLC, 3% to 4% have Met Exon 14 skipping mutation, and 3% to 5% have c-Met amplification on initial presentation while 20% EGFR+ NSCLC subjects manifest with c-Met over-expression or c-Met amplification when they develop resistance following treatment with targeted therapy using an EGFR inhibitor (TKI). NSCLC with c-Met genomic alteration such as Met Exon 14 skipping, c-Met amplification/over- expression are less responsive to systemic non-targeted therapy typically used for treating NSCLC such as checkpoint inhibitor antibodies, and have worse outcome than NSCLC with c-Met genomic alterations (Sabari et al., Coactivator Condensation at Super-Enhancers Links Phase Separation and Gene Control, 2018). Since the accelerated approval of c-Met inhibitors in the United States (capmatinib in 2020 and tepotinib in 2021) for treatment of NSCLC harboring Met Exon 14 skipping mutation, the National Comprehensive Cancer Network (“NCCN”) recommends the use of c-Met inhibitor TKI for first line treatment of NSCLC with Met Exon 14 skipping. However, there has not been any approved targeted therapy for NSCLC with c-Met amplification, with wild type or resistance following EGFR TKI.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indication of potential vebreltinib efficacy in NSCLC with c-Met dysregulation was first observed in the completed Phase 1 Study HMO-PLB1001-2013012-01. In this study, 36 evaluable Chinese subjects with NSCLC and c-Met dysregulations (Met Exon 14 skipping, c-Met amplification, or c-Met protein over-expression) were treated with single-agent vebreltinib. An ORR of 66.7% (median DOR 9.3 months) was achieved in the 15 subjects with NSCLC harboring Met Exon 14 skipping mutations, with an ORR of 72.7% (median DOR 8.3 months) in the subset of subjects treated at the RP2D of 200 mg BID (n=11) with disease control rate (“DCR”) of 100% (DCR=CR+PR+SD). Duration of response was up to three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Vebreltinib in NSCLC with Met Exon 14 skipping is being evaluated in two ongoing Phase 2 studies, the U.S./global study APL-101-01 and the China study PLB1001-II-NSCLC-01.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an End-of-Phase 1 meeting in November 2021, we sought FDA input on our development plan for two indications: NSCLC with Met Exon 14 skipping and NSCLC with c-Met amplification. We discussed potential accelerated approval for the treatment of NSCLC with Met Exon 14 skipping based on the “totality of data” from the Pearl and SPARTA studies. The FDA explained that in order to support accelerated approval we must demonstrate that vebreltinib provides a meaningful therapeutic benefit over treatments that have received full approval at the time of consideration for accelerated approval. Additionally, the FDA recommended that we request an additional meeting when more data is available to discuss: 1) the data package needed to support a marketing application seeking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accelerated approval, and 2) plans for confirming the clinical benefit of vebreltinib. The FDA also provided guidance on sample size requirements and study endpoints. The FDA also requested additional information for the FDA to determine if the proposed 200 mg BID dosage is optimized for efficacy and safety. The FDA recommended that we request a meeting when more data is available to discuss the development programs for the other vebreltinib indications.</w:t>
      </w:r>
    </w:p>
    <w:p>
      <w:pPr>
        <w:pStyle w:val="TextBody"/>
        <w:bidi w:val="0"/>
        <w:jc w:val="left"/>
        <w:rPr>
          <w:rFonts w:ascii="Times New Roman" w:hAnsi="Times New Roman"/>
          <w:color w:val="000000"/>
          <w:sz w:val="20"/>
        </w:rPr>
      </w:pPr>
      <w:r>
        <w:rPr>
          <w:rFonts w:ascii="Times New Roman" w:hAnsi="Times New Roman"/>
          <w:color w:val="000000"/>
          <w:sz w:val="20"/>
        </w:rPr>
        <w:t>In August 2022, the FDA granted us Orphan Drug Designation of vebreltinib for treatment of non-small cell lung cancer with c-Met genomic tumor aberrations which includes Met Exon 14 skipping and c-Met amplification.</w:t>
      </w:r>
    </w:p>
    <w:p>
      <w:pPr>
        <w:pStyle w:val="TextBody"/>
        <w:bidi w:val="0"/>
        <w:jc w:val="left"/>
        <w:rPr>
          <w:rFonts w:ascii="Times New Roman" w:hAnsi="Times New Roman"/>
          <w:color w:val="000000"/>
          <w:sz w:val="20"/>
        </w:rPr>
      </w:pPr>
      <w:r>
        <w:rPr>
          <w:rFonts w:ascii="Times New Roman" w:hAnsi="Times New Roman"/>
          <w:color w:val="000000"/>
          <w:sz w:val="20"/>
        </w:rPr>
        <w:t>With more clinical data on vebreltinib in NSCLC harboring Met Exon 14 skipping mutation, we had a follow-on (end of Phase 2) meeting with the FDA in July 2023. Instead of accelerated approval, “traditional approval” or “full approval” may potentially be feasible based on data from our ongoing global SPARTA study and China study by our partner Avistone. The FDA recommended that we propose an additional meeting to discuss our development plan and data package required to support a marketing application for vebreltinib for “traditional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sought feedback from the FDA in a Type C meeting held in February 2024. The objectives of the meeting were to review our development plan and discuss the registration pathway of vebreltinib for the treatment of 3 conditions: (1) NSCLC with Met Exon 14 skipping, (2) NSCLC with c-Met amplification (EGFR WT, absence of other driver mutations) and (3) GBM with PTPRZ1 c-Met fusion (ZM fusion). For NSCLC with Met Exon 14 skipping, the FDA suggested primary efficacy analyses be conducted on patients with central NGS confirmation, even though SPARTA study enrollment was based on local NGS results and retrospective central confirmation was conducted whenever possible.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February 2024 meeting with the FDA, we discussed the number of treatment naïve patients with Met Exon 14 skipping confirmed by central NGS testing that would be required to be treated with vebreltinib for an NDA package in this patient population. The FDA indicated that a 12-month follow up for patients in the primary efficacy analysis is needed to support traditional approval and that we would need to adequately explain the differences between the SPARTA and KUNPENG data. While we believe vebreltinib may represent a valuable new treatment option to patients with NSCLC with Met Exon 14 skipping mutation in the U.S, an option differentiated from the ones available today, we have closed the SPARTA cohorts for NSCLC with Met Exon 14 skipping mutations to new enrollment, and believe that a large, randomized, controlled clinical trial may be necessary for FDA approval in this indication.</w:t>
      </w:r>
    </w:p>
    <w:p>
      <w:pPr>
        <w:pStyle w:val="TextBody"/>
        <w:bidi w:val="0"/>
        <w:jc w:val="left"/>
        <w:rPr>
          <w:rFonts w:ascii="Times New Roman" w:hAnsi="Times New Roman"/>
          <w:color w:val="000000"/>
          <w:sz w:val="20"/>
        </w:rPr>
      </w:pPr>
      <w:r>
        <w:rPr>
          <w:rFonts w:ascii="Times New Roman" w:hAnsi="Times New Roman"/>
          <w:color w:val="000000"/>
          <w:sz w:val="20"/>
        </w:rPr>
        <w:t xml:space="preserve">We plan to pursue seeking marketing authorizations in the United States for NSCLC with Met Exon 14 skipping indication and the NSCLC with c-Met amplification indication with clinical results from the relevant patient subgroup from our APL-101-01 (SPARTA) study and patients from Avistone’s Phase 2 study in NSCLC patients, following the pre-NDA meeting with the FDA upon data maturation for each of these two indications.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intend to take a similar approach towards seeking regulatory approval for NSCLC with c-Met alterations like Met Exon 14 skipping and c-Met amplification in other jurisdictions such as the E.U. and other non-U.S. countries.</w:t>
      </w:r>
    </w:p>
    <w:p>
      <w:pPr>
        <w:pStyle w:val="TextBody"/>
        <w:bidi w:val="0"/>
        <w:jc w:val="left"/>
        <w:rPr>
          <w:rFonts w:ascii="Times New Roman" w:hAnsi="Times New Roman"/>
          <w:i/>
          <w:color w:val="000000"/>
          <w:sz w:val="20"/>
        </w:rPr>
      </w:pPr>
      <w:r>
        <w:rPr>
          <w:rFonts w:ascii="Times New Roman" w:hAnsi="Times New Roman"/>
          <w:i/>
          <w:color w:val="000000"/>
          <w:sz w:val="20"/>
        </w:rPr>
        <w:t>NSCLC with Met Amplification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NSCLC with c-Met amplification, at the February 2024 meeting, the FDA acknowledged that pretreated patients in this setting remain an unmet medical need, and indicated that the preliminary data presented could represent an improvement over available therapy. The FDA recommended we continue enrollment in this SPARTA cohort to increase the precision around the point estimate for ORR and provide geographic diversity for the purpose of an accelerated approval NDA package to potentially support a marketing authorization based on the single arm trial results from KUNPENG and SPARTA for this indication.</w:t>
      </w:r>
    </w:p>
    <w:p>
      <w:pPr>
        <w:pStyle w:val="TextBody"/>
        <w:bidi w:val="0"/>
        <w:jc w:val="left"/>
        <w:rPr>
          <w:rFonts w:ascii="Times New Roman" w:hAnsi="Times New Roman"/>
          <w:color w:val="000000"/>
          <w:sz w:val="20"/>
        </w:rPr>
      </w:pPr>
      <w:r>
        <w:rPr>
          <w:rFonts w:ascii="Times New Roman" w:hAnsi="Times New Roman"/>
          <w:color w:val="000000"/>
          <w:sz w:val="20"/>
        </w:rPr>
        <w:t>In August 2024, we announced that we had recently completed an analysis of 38 patients in the SPARTA MET amplification cohorts. Testing method discordance (determination of MET amplification by status sequencing of blood, sequencing of tumor biopsies, and/or fluorescent in-situ hybridization (FISH), as well as the use of local versus central laboratory testing), has complicated the analysis.</w:t>
      </w:r>
    </w:p>
    <w:p>
      <w:pPr>
        <w:pStyle w:val="TextBody"/>
        <w:bidi w:val="0"/>
        <w:jc w:val="left"/>
        <w:rPr>
          <w:rFonts w:ascii="Times New Roman" w:hAnsi="Times New Roman"/>
          <w:color w:val="000000"/>
          <w:sz w:val="20"/>
        </w:rPr>
      </w:pPr>
      <w:r>
        <w:rPr>
          <w:rFonts w:ascii="Times New Roman" w:hAnsi="Times New Roman"/>
          <w:color w:val="000000"/>
          <w:sz w:val="20"/>
        </w:rPr>
        <w:t>In July 2024, we announced that SPARTA enrollment will focus only on NSCLC patients with MET amplification, to be confirmed by central FISH testing.We are actively reviewing the data from previously and newly enrolled participants to determine the next development steps.</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Pan-tumor Met Fusions (non-CNS)</w:t>
      </w:r>
    </w:p>
    <w:p>
      <w:pPr>
        <w:pStyle w:val="TextBody"/>
        <w:bidi w:val="0"/>
        <w:jc w:val="left"/>
        <w:rPr>
          <w:rFonts w:ascii="Times New Roman" w:hAnsi="Times New Roman"/>
          <w:color w:val="000000"/>
          <w:sz w:val="20"/>
        </w:rPr>
      </w:pPr>
      <w:r>
        <w:rPr>
          <w:rFonts w:ascii="Times New Roman" w:hAnsi="Times New Roman"/>
          <w:color w:val="000000"/>
          <w:sz w:val="20"/>
        </w:rPr>
        <w:t>In August 2024, we announced data from the SPARTA Phase 2 clinical trial for 14 patients with non-CNS MET fusion solid tumors, where a 43% objective response rate (ORR) was achieved by RECIST v1.1 criteria. This includes six confirmed responses out of 14 evaluable patients: one complete response in second-line metastatic NSCLC and five partial responses (three patients with NSCLC, one patient with pancreatic cancer, and one patient with intrahepatic bile duct cancer). Alongside the Avistone data for vebreltinib in the treatment of glioblastoma with PTPRZ1 MET fusions described below, vebreltinib has now demonstrated activity in a variety of tumors with MET fusions.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GBM with c-Met dysregulation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Glioblastoma multiforme (“GBM”) has a grave prognosis. Patients with recurrent disease typically have short survival of only a few months. The current standard of care treatment for GBM is temozolomide with radiation following tumor resection. GBMs with c-Met dysregulation like PTPRZ1-MET mutation are reported to have worse outcome than those without. There is no approved targeted therapy for treatment of GMB with c-Met dysregulation. New treatments are urgently needed.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vebreltinib program, early evidence of brain penetration of vebreltinib came from the response in brain metastases of subjects with NSCLC with Met Exon 14 skipping as well as those from GBM subjects with PTPRZ1-MET fusion or with c-Met amplification in Phase 1 studies. Subjects with brain tumors (inclusive of high grade gliomas and GBM) with PTPRZ1-MET fusion or with c-Met amplification have been evaluated in two clinical trials: the global Phase 1/2 SPARTA trial conducted by Apollomics and the Phase 2/3 randomized active-controlled trial in secondary GBM with PTPRZ1-MET fusion by Avistone.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Avistone trial was a multicenter, double-blind, randomized trial to compare vebreltinib to an active comparator (either temozolomide or cisplatin combined with etoposide regimen) in subjects with recurrent secondary glioblastoma (progression from lower grade glioma to glioblastoma) or IDH mutant glioblastoma with PTPRZ1-MET Fusion. This study enrolled 84 subjects who were randomized 1:1 for vebreltinib vs. the active comparator. The primary efficacy endpoint was OS. Key secondary endpoints are progression-free survival (“PFS”), ORR (PR+CR), KPS score and EORTC quality of life measurement scale (QLQ-C30, QLQ-BN20). </w:t>
      </w:r>
    </w:p>
    <w:p>
      <w:pPr>
        <w:pStyle w:val="TextBody"/>
        <w:bidi w:val="0"/>
        <w:jc w:val="left"/>
        <w:rPr>
          <w:rFonts w:ascii="Times New Roman" w:hAnsi="Times New Roman"/>
          <w:color w:val="000000"/>
          <w:sz w:val="20"/>
        </w:rPr>
      </w:pPr>
      <w:r>
        <w:rPr>
          <w:rFonts w:ascii="Times New Roman" w:hAnsi="Times New Roman"/>
          <w:color w:val="000000"/>
          <w:sz w:val="20"/>
        </w:rPr>
        <w:t>Avistone reported a 48% reduction of death in this study and submitted a supplemental NDA (“sNDA”) for use of vebreltinib in GBM with PTPRZ1-MET fusion, which was approved in May 2024 by China NMPA. In our February 2024 meeting with the FDA, for GBM with PTPRZ1-Met fusion, the FDA acknowledged PTPRZ1-MET fusion-positive high-grade glioma is a serious illness with an unmet medical need where effective agents that prolong OS in the context of an adequately powered randomized trial could be considered for traditional approval. However, additional epidemiologic information on high grade glioma with PTPRZ1-MET fusion and more detailed information on the Phase 2/3 study completed by Avistone are needed to be provided to the FDA to determine if this study, supported by data from the SPARTA study, could be sufficient to support a marketing authorization for this indication in the United States, or if additional clinical trial data would be required. In 2026, we intend to discuss with EMA the approvability of vebreltinib in this indication.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Vebreltinib combination therapy with an EGFR inhibitor</w:t>
      </w:r>
    </w:p>
    <w:p>
      <w:pPr>
        <w:pStyle w:val="TextBody"/>
        <w:bidi w:val="0"/>
        <w:spacing w:before="120" w:after="283"/>
        <w:jc w:val="left"/>
        <w:rPr>
          <w:rFonts w:ascii="Times New Roman" w:hAnsi="Times New Roman"/>
          <w:sz w:val="20"/>
        </w:rPr>
      </w:pPr>
      <w:r>
        <w:rPr>
          <w:rFonts w:ascii="Times New Roman" w:hAnsi="Times New Roman"/>
          <w:color w:val="000000"/>
          <w:sz w:val="20"/>
        </w:rPr>
        <w:t>To explore the potential for addressing the issue of treatment resistance to EGFR TKIs, which are a mainstay of targeted therapy for the treatment of NSCLC, vebreltinib in combination with osimertinib is being studied as part of first line treatment in an ongoing investigator sponsored study (“IST”) in metastatic NSCLC subjects with EGFR mutation at Washington University School of Medicine: “</w:t>
      </w:r>
      <w:r>
        <w:rPr>
          <w:rFonts w:ascii="Times New Roman" w:hAnsi="Times New Roman"/>
          <w:i/>
          <w:color w:val="000000"/>
          <w:sz w:val="20"/>
        </w:rPr>
        <w:t>Phase I/II study exploring the safety and efficacy of combining APL-101 (vebreltinib) with frontline osimertinib in subjects with EGFR-mutated metastatic NSCLC.</w:t>
      </w:r>
      <w:r>
        <w:rPr>
          <w:rFonts w:ascii="Times New Roman" w:hAnsi="Times New Roman"/>
          <w:color w:val="000000"/>
          <w:sz w:val="20"/>
        </w:rPr>
        <w:t>” Over 20 patients have been enrolled in this IST. An increase in duration of response as compared to that expected with osimertinib monotherapy would represent a significant improvement over the current standard of care. Our collaboration with LaunXP for the development of vebreltinib in combination with an EGFR inhibitor reflects our strategy to expand the clinical data for vebreltinib through strategic collaborations.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Safety Profile of Vebreltinib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profile of vebreltinib is supported by a database of over 500 patients dosed with vebreltinib over multiple clinical trials and is consistent with previously reported data for small molecule c-Met inhibitors in the intended patient population. Vebreltinib is well tolerated in this patient population. The incidence of treatment-related TEAEs based on the data from SPARTA-II and KUNPENG that was presented at the ESMO meeting September 2024 was generally similar between two studies; treatment-related TEAEs of grade 3 or higher were reported in 48.1% of patients, with the most common being edema (16.7%) and ALT increase and lipase increased (5.6%each). Treatment-related TEAEs of grade 3 or higher led to 11.1% of patients with dose reduction, 32.4% with dose interruption and 7.4% with drug discontinuation. A total of 4(3.7%) deaths led by TEAEs were reported: 1(1.8%) death in SPARTA and 3(5.8%) in KUNPENG.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drawing>
          <wp:inline distT="0" distB="0" distL="0" distR="0">
            <wp:extent cx="6067425" cy="4419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67425" cy="4419600"/>
                    </a:xfrm>
                    <a:prstGeom prst="rect">
                      <a:avLst/>
                    </a:prstGeom>
                  </pic:spPr>
                </pic:pic>
              </a:graphicData>
            </a:graphic>
          </wp:inline>
        </w:drawing>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Opportunity and Competition</w:t>
      </w:r>
    </w:p>
    <w:p>
      <w:pPr>
        <w:pStyle w:val="TextBody"/>
        <w:bidi w:val="0"/>
        <w:spacing w:before="120" w:after="283"/>
        <w:jc w:val="left"/>
        <w:rPr>
          <w:rFonts w:ascii="Times New Roman" w:hAnsi="Times New Roman"/>
          <w:sz w:val="20"/>
        </w:rPr>
      </w:pPr>
      <w:r>
        <w:rPr>
          <w:rFonts w:ascii="Times New Roman" w:hAnsi="Times New Roman"/>
          <w:i/>
          <w:color w:val="000000"/>
          <w:sz w:val="20"/>
        </w:rPr>
        <w:t>NSCLC</w:t>
      </w:r>
      <w:r>
        <w:rPr>
          <w:rFonts w:ascii="Times New Roman" w:hAnsi="Times New Roman"/>
          <w:color w:val="000000"/>
          <w:sz w:val="20"/>
        </w:rPr>
        <w:t>. According to the China Insights Consultancy (“CIC”) Report, global (excluding China) incidence of NSCLC was 1.0 million cases in 2019 and is expected to increase to 1.3 million by 2030. In the United States, the incidence of NSCLC was approximately 178,300 cases in 2019 and is expected to reach approximately 221,200 in 2030. In the United States, the incidence of NSCLC with Met Exon 14 skipping mutation was approximately 5,700 cases in 2019 and is expected to reach approximately 7,100 in 2030. The combination therapy of c-Met inhibitors and MEK inhibitors or immune checkpoint inhibitors has the potential to exert synergistic effects in NSCLC patients. In addition, since c-Met amplification accounts for approximately 20% of the acquired resistance to EGFR-TKIs in NSCLC patients with EGFR mutation, c-Met inhibitors have the potential to overcome such resistance in these patients. According to the CIC Report, the global (excluding China) market size of single-targeted c-Met inhibitors for the treatment of NSCLC is expected to grow to $1.5 billion in 2025 and further to $3.1 billion by 2030, representing a compound annual growth rate (“CAGR”) of 14.8% from 2025. In the United States, the market size is projected to grow to $584.3 million in 2025 and further to $1.2 billion in 2030, representing a CAGR of 15.3% from 2025, according to the CIC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Capmatinib, a single-targeted c-Met inhibitor, was originally granted accelerated approval by the FDA in 2020 and has been adopted for the treatment of NSCLC patients with Met Exon 14 skipping mutation in the first-line and subsequent treatments in the United States. The FDA granted traditional approval to capmatinib in August 2022. Another single-targeted c-Met inhibitor, tepotinib, was also granted accelerated approval by the FDA for the treatment of metastatic NSCLC patients with Met Exon 14 skipping mutation in February 2021 followed by traditional approval February 2024. As of the date of this Annual Report, there were a number of clinical trials in which single-targeted and multi-targeted c-Met inhibitors are being used alone or in combination with other drugs for the treatment of NSCLC patients.</w:t>
      </w:r>
    </w:p>
    <w:p>
      <w:pPr>
        <w:pStyle w:val="TextBody"/>
        <w:bidi w:val="0"/>
        <w:spacing w:before="240" w:after="283"/>
        <w:jc w:val="left"/>
        <w:rPr>
          <w:rFonts w:ascii="Times New Roman" w:hAnsi="Times New Roman"/>
          <w:sz w:val="20"/>
        </w:rPr>
      </w:pPr>
      <w:r>
        <w:rPr>
          <w:rFonts w:ascii="Times New Roman" w:hAnsi="Times New Roman"/>
          <w:i/>
          <w:color w:val="000000"/>
          <w:sz w:val="20"/>
        </w:rPr>
        <w:t>GBM</w:t>
      </w:r>
      <w:r>
        <w:rPr>
          <w:rFonts w:ascii="Times New Roman" w:hAnsi="Times New Roman"/>
          <w:color w:val="000000"/>
          <w:sz w:val="20"/>
        </w:rPr>
        <w:t>. According to the CIC Report, global (excluding China) incidence of GBM expanded from approximately 80,200 cases in 2015 to approximately 85,100 cases in 2019, and is expected to reach to approximately 98,500 cases by 2030. In the United States, incidence of GBM increased from approximately 10,200 in 2015 to approximately 10,500 in 2019, and is expected to reach approximately 11,200 in 2030. A number of studies have demonstrated that c-Met and HGF play a critical role in the proliferation, survival, migration, invasion, angiogenesis, stem cell characteristics, and therapeutic resistance and recurrence of GBMs. According to the CIC Report, about 34% of GBM patients have c-Met dysregulation, including c-Met overexpression, amplification, mutation and fusion. According to the CIC Report, the global (excluding China) market size of single-targeted c-Met inhibitors for the treatment of GBM with c-Met dysregulation is projected to grow from $8.0 million in 2024 to $638.0 million in 2030. In the United States, the market size is expected to grow from $3.1 million in 2024 to $255.3 million in 2030, according to the CIC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According to the CIC Report, as of the date of this Annual Report, no c-Met inhibitors had been approved for the treatment of GBM in the United States. There are a number of small molecule c-Met inhibitors in various stages of clinical development for the treatment of GBM as of the date of this Annual Report, according to the CIC Report.</w:t>
      </w:r>
    </w:p>
    <w:p>
      <w:pPr>
        <w:pStyle w:val="TextBody"/>
        <w:bidi w:val="0"/>
        <w:jc w:val="left"/>
        <w:rPr>
          <w:rFonts w:ascii="Times New Roman" w:hAnsi="Times New Roman"/>
          <w:color w:val="000000"/>
          <w:sz w:val="20"/>
        </w:rPr>
      </w:pPr>
      <w:r>
        <w:rPr>
          <w:rFonts w:ascii="Times New Roman" w:hAnsi="Times New Roman"/>
          <w:color w:val="000000"/>
          <w:sz w:val="20"/>
        </w:rPr>
        <w:t>The tables below show our estimates of the total addressable patient market (annual incidence) in the United States for the various potential commercial opportunities for vebreltinib.</w:t>
      </w:r>
    </w:p>
    <w:p>
      <w:pPr>
        <w:pStyle w:val="TextBody"/>
        <w:bidi w:val="0"/>
        <w:jc w:val="center"/>
        <w:rPr/>
      </w:pPr>
      <w:r>
        <w:rPr/>
        <w:t> </w:t>
      </w:r>
    </w:p>
    <w:tbl>
      <w:tblPr>
        <w:tblW w:w="4682" w:type="dxa"/>
        <w:jc w:val="left"/>
        <w:tblInd w:w="0" w:type="dxa"/>
        <w:tblLayout w:type="fixed"/>
        <w:tblCellMar>
          <w:top w:w="28" w:type="dxa"/>
          <w:left w:w="28" w:type="dxa"/>
          <w:bottom w:w="28" w:type="dxa"/>
          <w:right w:w="28" w:type="dxa"/>
        </w:tblCellMar>
      </w:tblPr>
      <w:tblGrid>
        <w:gridCol w:w="3706"/>
        <w:gridCol w:w="976"/>
      </w:tblGrid>
      <w:tr>
        <w:trPr/>
        <w:tc>
          <w:tcPr>
            <w:tcW w:w="37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Monotherapy Indications</w:t>
            </w:r>
          </w:p>
        </w:tc>
        <w:tc>
          <w:tcPr>
            <w:tcW w:w="97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Patients</w:t>
            </w:r>
          </w:p>
        </w:tc>
      </w:tr>
      <w:tr>
        <w:trPr/>
        <w:tc>
          <w:tcPr>
            <w:tcW w:w="3706" w:type="dxa"/>
            <w:tcBorders>
              <w:left w:val="single" w:sz="4" w:space="0" w:color="000000"/>
              <w:bottom w:val="single" w:sz="4" w:space="0" w:color="BFBFBF"/>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 Exon 14 skipping (3-4% of 1L NSCLC)</w:t>
            </w:r>
          </w:p>
        </w:tc>
        <w:tc>
          <w:tcPr>
            <w:tcW w:w="976" w:type="dxa"/>
            <w:tcBorders>
              <w:bottom w:val="single" w:sz="4" w:space="0" w:color="BFBFBF"/>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6,800</w:t>
            </w:r>
          </w:p>
        </w:tc>
      </w:tr>
      <w:tr>
        <w:trPr/>
        <w:tc>
          <w:tcPr>
            <w:tcW w:w="3706" w:type="dxa"/>
            <w:tcBorders>
              <w:left w:val="single" w:sz="4" w:space="0" w:color="000000"/>
              <w:bottom w:val="single" w:sz="4" w:space="0" w:color="BFBFBF"/>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c-Met amplification (1-5% of 2L NSCLC)</w:t>
            </w:r>
          </w:p>
        </w:tc>
        <w:tc>
          <w:tcPr>
            <w:tcW w:w="976" w:type="dxa"/>
            <w:tcBorders>
              <w:bottom w:val="single" w:sz="4" w:space="0" w:color="BFBFBF"/>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5,800</w:t>
            </w:r>
          </w:p>
        </w:tc>
      </w:tr>
      <w:tr>
        <w:trPr/>
        <w:tc>
          <w:tcPr>
            <w:tcW w:w="3706" w:type="dxa"/>
            <w:tcBorders>
              <w:left w:val="single" w:sz="4" w:space="0" w:color="000000"/>
              <w:bottom w:val="single" w:sz="4" w:space="0" w:color="BFBFBF"/>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GBM w/ cMet fusion</w:t>
            </w:r>
          </w:p>
        </w:tc>
        <w:tc>
          <w:tcPr>
            <w:tcW w:w="976" w:type="dxa"/>
            <w:tcBorders>
              <w:bottom w:val="single" w:sz="4" w:space="0" w:color="BFBFBF"/>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1,500</w:t>
            </w:r>
          </w:p>
        </w:tc>
      </w:tr>
      <w:tr>
        <w:trPr/>
        <w:tc>
          <w:tcPr>
            <w:tcW w:w="3706" w:type="dxa"/>
            <w:tcBorders>
              <w:left w:val="single" w:sz="4" w:space="0" w:color="000000"/>
              <w:bottom w:val="single" w:sz="4" w:space="0" w:color="BFBFBF"/>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c-Met amplification (multiple tumors)</w:t>
            </w:r>
          </w:p>
        </w:tc>
        <w:tc>
          <w:tcPr>
            <w:tcW w:w="976" w:type="dxa"/>
            <w:tcBorders>
              <w:bottom w:val="single" w:sz="4" w:space="0" w:color="BFBFBF"/>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w:t>
            </w:r>
          </w:p>
        </w:tc>
      </w:tr>
      <w:tr>
        <w:trPr/>
        <w:tc>
          <w:tcPr>
            <w:tcW w:w="3706" w:type="dxa"/>
            <w:tcBorders>
              <w:left w:val="single" w:sz="4" w:space="0" w:color="000000"/>
              <w:bottom w:val="single" w:sz="4" w:space="0" w:color="BFBFBF"/>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c-Met fusion (pan tumor)</w:t>
            </w:r>
          </w:p>
        </w:tc>
        <w:tc>
          <w:tcPr>
            <w:tcW w:w="976" w:type="dxa"/>
            <w:tcBorders>
              <w:bottom w:val="single" w:sz="4" w:space="0" w:color="BFBFBF"/>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w:t>
            </w:r>
          </w:p>
        </w:tc>
      </w:tr>
      <w:tr>
        <w:trPr/>
        <w:tc>
          <w:tcPr>
            <w:tcW w:w="37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HGF+ c-Met gene WT (pan tumor)</w:t>
            </w:r>
          </w:p>
        </w:tc>
        <w:tc>
          <w:tcPr>
            <w:tcW w:w="9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15,000</w:t>
            </w:r>
          </w:p>
        </w:tc>
      </w:tr>
    </w:tbl>
    <w:p>
      <w:pPr>
        <w:pStyle w:val="TextBody"/>
        <w:bidi w:val="0"/>
        <w:jc w:val="center"/>
        <w:rPr/>
      </w:pPr>
      <w:r>
        <w:rPr/>
        <w:t> </w:t>
      </w:r>
    </w:p>
    <w:tbl>
      <w:tblPr>
        <w:tblW w:w="5537" w:type="dxa"/>
        <w:jc w:val="left"/>
        <w:tblInd w:w="0" w:type="dxa"/>
        <w:tblLayout w:type="fixed"/>
        <w:tblCellMar>
          <w:top w:w="28" w:type="dxa"/>
          <w:left w:w="28" w:type="dxa"/>
          <w:bottom w:w="28" w:type="dxa"/>
          <w:right w:w="28" w:type="dxa"/>
        </w:tblCellMar>
      </w:tblPr>
      <w:tblGrid>
        <w:gridCol w:w="4561"/>
        <w:gridCol w:w="976"/>
      </w:tblGrid>
      <w:tr>
        <w:trPr/>
        <w:tc>
          <w:tcPr>
            <w:tcW w:w="45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56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Combination Indications</w:t>
            </w:r>
          </w:p>
        </w:tc>
        <w:tc>
          <w:tcPr>
            <w:tcW w:w="97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Patients</w:t>
            </w:r>
          </w:p>
        </w:tc>
      </w:tr>
      <w:tr>
        <w:trPr/>
        <w:tc>
          <w:tcPr>
            <w:tcW w:w="4561" w:type="dxa"/>
            <w:tcBorders>
              <w:left w:val="single" w:sz="4" w:space="0" w:color="000000"/>
              <w:bottom w:val="single" w:sz="4" w:space="0" w:color="BFBFBF"/>
              <w:right w:val="single" w:sz="4" w:space="0" w:color="000000"/>
            </w:tcBorders>
            <w:tcMar>
              <w:top w:w="0" w:type="dxa"/>
              <w:left w:w="115"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EGFR+, c-Met amp+ (EGFRi+METi)</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NSCLC acquired resistance</w:t>
            </w:r>
          </w:p>
        </w:tc>
        <w:tc>
          <w:tcPr>
            <w:tcW w:w="976" w:type="dxa"/>
            <w:tcBorders>
              <w:bottom w:val="single" w:sz="4" w:space="0" w:color="BFBFBF"/>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5,800</w:t>
            </w:r>
          </w:p>
        </w:tc>
      </w:tr>
      <w:tr>
        <w:trPr/>
        <w:tc>
          <w:tcPr>
            <w:tcW w:w="4561" w:type="dxa"/>
            <w:tcBorders>
              <w:left w:val="single" w:sz="4" w:space="0" w:color="000000"/>
              <w:bottom w:val="single" w:sz="4" w:space="0" w:color="BFBFBF"/>
              <w:right w:val="single" w:sz="4" w:space="0" w:color="000000"/>
            </w:tcBorders>
            <w:tcMar>
              <w:top w:w="0" w:type="dxa"/>
              <w:left w:w="115" w:type="dxa"/>
              <w:right w:w="115" w:type="dxa"/>
            </w:tcMar>
            <w:vAlign w:val="center"/>
          </w:tcPr>
          <w:p>
            <w:pPr>
              <w:pStyle w:val="TableContents"/>
              <w:bidi w:val="0"/>
              <w:jc w:val="left"/>
              <w:rPr>
                <w:rFonts w:ascii="Times New Roman" w:hAnsi="Times New Roman"/>
                <w:sz w:val="20"/>
              </w:rPr>
            </w:pPr>
            <w:r>
              <w:rPr>
                <w:rFonts w:ascii="Times New Roman" w:hAnsi="Times New Roman"/>
                <w:color w:val="000000"/>
                <w:sz w:val="20"/>
              </w:rPr>
              <w:t>EGFR+, 1L NSCLC (EGFRi+METi)</w:t>
              <w:br/>
            </w:r>
            <w:r>
              <w:rPr>
                <w:rFonts w:ascii="Times New Roman" w:hAnsi="Times New Roman"/>
                <w:i/>
                <w:color w:val="000000"/>
                <w:sz w:val="20"/>
              </w:rPr>
              <w:t>40% c-Met over-expressed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POC provided by MARIPOSA</w:t>
            </w:r>
          </w:p>
        </w:tc>
        <w:tc>
          <w:tcPr>
            <w:tcW w:w="976" w:type="dxa"/>
            <w:tcBorders>
              <w:bottom w:val="single" w:sz="4" w:space="0" w:color="BFBFBF"/>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11,600</w:t>
            </w:r>
          </w:p>
        </w:tc>
      </w:tr>
      <w:tr>
        <w:trPr/>
        <w:tc>
          <w:tcPr>
            <w:tcW w:w="4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Combo w/ ALK, ROS, KRAS, etc.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target+, c-Met amp+, NSCLC acquired resistance</w:t>
            </w:r>
          </w:p>
        </w:tc>
        <w:tc>
          <w:tcPr>
            <w:tcW w:w="9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2,600</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Licenses</w:t>
      </w:r>
      <w:r>
        <w:rPr>
          <w:rFonts w:ascii="Times New Roman" w:hAnsi="Times New Roman"/>
          <w:b/>
          <w:color w:val="000000"/>
          <w:sz w:val="20"/>
        </w:rPr>
        <w:t xml:space="preserve">, </w:t>
      </w:r>
      <w:r>
        <w:rPr>
          <w:rFonts w:ascii="Times New Roman" w:hAnsi="Times New Roman"/>
          <w:b/>
          <w:i/>
          <w:color w:val="000000"/>
          <w:sz w:val="20"/>
        </w:rPr>
        <w:t>Rights and Obligations</w:t>
      </w:r>
    </w:p>
    <w:p>
      <w:pPr>
        <w:pStyle w:val="TextBody"/>
        <w:bidi w:val="0"/>
        <w:spacing w:before="108" w:after="283"/>
        <w:jc w:val="left"/>
        <w:rPr>
          <w:rFonts w:ascii="Times New Roman" w:hAnsi="Times New Roman"/>
          <w:sz w:val="20"/>
        </w:rPr>
      </w:pPr>
      <w:r>
        <w:rPr>
          <w:rFonts w:ascii="Times New Roman" w:hAnsi="Times New Roman"/>
          <w:color w:val="000000"/>
          <w:sz w:val="20"/>
        </w:rPr>
        <w:t>Avistone has the exclusive rights to vebreltinib in China, Hong Kong and Macau, and we have the exclusive rights to vebreltinib in the rest of the world. Please refer to “</w:t>
      </w:r>
      <w:r>
        <w:rPr>
          <w:rFonts w:ascii="Times New Roman" w:hAnsi="Times New Roman"/>
          <w:i/>
          <w:color w:val="000000"/>
          <w:sz w:val="20"/>
        </w:rPr>
        <w:t>Licensing and Collaboration Arrangements—Agreements with Crown Bioscience (Taicang) Related to Vebreltinib</w:t>
      </w:r>
      <w:r>
        <w:rPr>
          <w:rFonts w:ascii="Times New Roman" w:hAnsi="Times New Roman"/>
          <w:color w:val="000000"/>
          <w:sz w:val="20"/>
        </w:rPr>
        <w:t>” below for further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Immuno-Oncology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three immuno-oncology product candidates consist of APL-501, APL-502 and APL-801. These product candidates are designed to take advantage of the body’s immune system to fight cancer and include mono-specific and bi-specific antibodies that could release the natural brakes of immune response against cancer cells, as well as a novel cancer vaccine. Our current strategy is to identify development and commercialization partners for these product candidates to enable the most capital-efficient development programs in this highly competitive area.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APL-501 (Anti-PD-1 Antibody)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APL-501 is an investigational, humanized, IgG4 monoclonal antibody that selectively binds to PD-1 on T lymphocytes and other immune cells. APL-501 was internally discovered at Crown Bioscience, the former parent company of Apollomics. After we out-licensed the Chinese rights on APL-501 to Genor, Genor has been developing APL-501 (also known as GB226) for the potential treatment of multiple tumor types in China. Genor announced in June 2023 that the Biologics License Application (“BLA”) approval for PTCL in China was not granted by the NMPA. We retain the global rights to APL-501 outside of China. We have completed a Phase 1 study in select advanced or r/r solid tumors in Australia and are currently analyzing the clinical data.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APL-502 (anti-PD-Ll antibody)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APL-502 is a novel IgG1 humanized monoclonal antibody against PD-L1. APL-502 was discovered at Crown Bioscience, the former parent company of Apollomics. The China rights of APL-502 was out-licensed to our partner, Chia Tai-Tianqing Pharmaceutical Holdings Co., Ltd. (“CTTQ”), while we retain the global (ex-China) rights to APL-502. CTTQ is pursuing the development of APL-502, also known as TQB-2450, in China for the potential treatment of multiple cancer types. APL-502 has been approved by China’s NMPA for three distinct indications: extensive-stage small cell lung cancer, recurrent/metastatic endometrial cancer, and late-stage unresectable or metastatic renal cell carcinoma. Ongoing clinical trials include the following tumor types: NSCLC, esophageal cancer, ovarian cancer, hepatocellular carcinoma, cholangiocarcinoma, primary mediastinal large B cell lymphoma, and alveolar soft part sarcoma.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Former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Uproleselan (E-Selectin Antagonist)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2020, we entered into an exclusive collaboration and license agreement with GlycoMimetics (the “GlycoMimetics Agreement”) on the development and commercialization rights of uproleselan in Greater China. This agreement included two clinical stage assets, uproleselan (APL-106 or GMI-1271) and APL-108 (GMI-1687), and a pipeline of novel glycomimetic drugs, all designed to address unmet medical needs resulting from diseases in which carbohydrate biology plays a key role.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Uproleselan was evaluated in a GlycoMimetics-sponsored Phase 3 global trial in r/r AML, which did not achieve its primary endpoint of a statistically significant improvement in overall survival. As a result of these negative Phase 3 results from GlycoMimetics, we determined the recoverable amount was lower than the carrying value of the intangible asset and recorded an impairment loss of $10.0 million to write down the full value of our intangible asset for this program. We have also evaluated uproleselan in a Phase 3 bridging clinical trial in r/r AML in China, which did not demonstrate favorable benefit for uproleselan. The NCI has also conducted a Phase 2/3 study to evaluate uproleselan in combination with chemotherapy vs. chemotherapy alone for first line treatment of AML in older adults in the United States, which did not achieve its Phase 2 primary endpoint of a statistically significant improvement in EFS. Due to these clinical results, in February 2025, we notified GlycoMimetics of the termination of the GlycoMimetics Agreement, which became effective in May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APL-810 (G17-Targeted ACCI)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APL-810, also known as TYG100, is a novel, rationally designed, ACCI recombinant vaccine that was derived from the S-TIRTM technology platform and targets the gastrin immunogen. We in-licensed APL-810 from TYG and Nuance for development and commercialization in Greater China, Taiwan, and South Africa, and in the United States. In November 2024, as part of pipeline prioritization, we notified TYG of the termination of the license for APL-810, which became effective in January 2025.</w:t>
      </w:r>
    </w:p>
    <w:p>
      <w:pPr>
        <w:pStyle w:val="TextBody"/>
        <w:bidi w:val="0"/>
        <w:spacing w:before="360" w:after="283"/>
        <w:jc w:val="left"/>
        <w:rPr>
          <w:rFonts w:ascii="Times New Roman" w:hAnsi="Times New Roman"/>
          <w:sz w:val="20"/>
        </w:rPr>
      </w:pPr>
      <w:r>
        <w:rPr>
          <w:rFonts w:ascii="Times New Roman" w:hAnsi="Times New Roman"/>
          <w:b/>
          <w:i/>
          <w:color w:val="000000"/>
          <w:sz w:val="20"/>
          <w:u w:val="single"/>
        </w:rPr>
        <w:t>APL-122 (ErbB1/2/4 Inhibitor)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APL-122, also known as EO1001, is a novel, oral, brain-penetrating, irreversible pan-ErbB inhibitor targeting EGFR (ErbB1), HER2 (ErbB2) and HER4 (ErbB4). We had previously in-licensed from Edison Oncology Holding Corporation (“Edison”) exclusive rights to APL-122 outside China, Hong Kong and Taiwan in January 2021.On December 11, 2025, we issued a formal notice of termination to Edison regarding the Development and License Agreement for APL-122, citing Edison’s failure to meet certain material performance and reporting obligations under the agreement, including systematic failure to provide clinical reports and failure to provide contractually mandated data access. The termination was effective immediately. We dispute any outstanding payment obligations claimed by Edison based on Edison’s non-performance, and we intend to vigorously defend our position and reserve all rights and remedies available under the agreement and applicable law.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 Assignment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December 2015, Crown Bioscience International, through its subsidiaries, was the owner of certain patent rights related to vebreltinib, APL-501, APL-502 and APL-102. In order to focus on its core business, namely providing preclinical CRO services, and allow the drug discovery and development related business to be operated and financed separately, Crown Bioscience International spun off its Taiwan subsidiary, namely Crown Bioscience (Taiwan), and injected it into our Company which was formed to facilitate the spin-off. As a result of a series of transactions described below, we became the owner of certain patent rights related to vebreltinib, APL-501, APL-502 and APL-102.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October 2014, Crown Bioscience (Taiwan) entered into a patent assignment agreement with Crown Bioscience (Taicang) concerning the sale, assignment and transfer of certain ex-China patent rights, including patent applications and all patents granted therefrom, as well as rights to claim priority rights deriving therefrom, related to (a) highly selective c-Met inhibitors as anti-cancer agents; (b) cyclopropanecarboxamido-substituted aromatic compounds as anti-tumor agents; (c) anti-PD-1 antibodies; and (d) anti-PD-L1 antibodies for PD-L1 blockage and enhancement of T-cell activation (collectively, the “Crown Products”) from Crown Bioscience (Taicang), as assignor, to Crown Bioscience (Taiwan), as assignee. In December 2015, Crown Bioscience International entered into a contribution agreement with us (then known as CB Therapeutics, Inc.), pursuant to which Crown Bioscience International transferred to us all of the then outstanding equity interest of Crown Bioscience (Taiwan) which, as a result, became our wholly-owned subsidiary. No personnel was transferred from Crown Bioscience International to our Company at the time of spin-off and none of our existing employees currently holds any interest in Crown Bioscience International.</w:t>
      </w:r>
    </w:p>
    <w:p>
      <w:pPr>
        <w:pStyle w:val="TextBody"/>
        <w:bidi w:val="0"/>
        <w:jc w:val="left"/>
        <w:rPr>
          <w:rFonts w:ascii="Times New Roman" w:hAnsi="Times New Roman"/>
          <w:sz w:val="20"/>
        </w:rPr>
      </w:pPr>
      <w:r>
        <w:rPr>
          <w:rFonts w:ascii="Times New Roman" w:hAnsi="Times New Roman"/>
          <w:color w:val="000000"/>
          <w:sz w:val="20"/>
        </w:rPr>
        <w:t>In March 2016, we and Crown Bioscience (Taiwan) entered into a patent assignment agreement which was subsequently amended in December 2018, under which Crown Bioscience (Taiwan) assigned to us the China patent rights related to cyclopropanecarboxamido-substituted aromatic compounds as anti-tumor agents. As a result of the foregoing transactions and the pre-existing exclusive license agreements between Crown Bioscience (Taicang) and certain third parties (please refer to “—</w:t>
      </w:r>
      <w:r>
        <w:rPr>
          <w:rFonts w:ascii="Times New Roman" w:hAnsi="Times New Roman"/>
          <w:i/>
          <w:color w:val="000000"/>
          <w:sz w:val="20"/>
        </w:rPr>
        <w:t>Licensing and Collaboration Arrangements</w:t>
      </w:r>
      <w:r>
        <w:rPr>
          <w:rFonts w:ascii="Times New Roman" w:hAnsi="Times New Roman"/>
          <w:color w:val="000000"/>
          <w:sz w:val="20"/>
        </w:rPr>
        <w:t>” below for further details), we have obtained the development and commercialization rights of (a) vebreltinib outside China, Hong Kong and Macau, (b) APL-501 outside China, (c) APL-502 outside China and (d) APL-102 worldwide. Vebreltinib, APL-501, APL-502 and APL-102 are the key product candidates in our pipeline currently qualified as the Crown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 databases of the relevant patent offices, the ownership of patent rights covering vebreltinib outside China, Hong Kong and Macau, the ownership of patent rights covering APL-501 outside China, the ownership of patent rights covering the molecule of APL-502 outside China, and the ownership of patent rights covering the molecule of APL-102 have been fully transferred to our Company, and there are no circumstances where third party assertions of inventorship may affect our entitlement to these intellectual property rights. With respect to the development of vebreltinib, many of the IND enabling studies and clinical development activities relating to vebreltinib are conducted by us in-house or through our CROs. Crown Bioscience International was involved in the discovery and early preclinical studies of vebreltinib before the relevant patent rights were transferred to us in 2015.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Licensing and Collaboration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are the summaries of our key licensing and collaboration arrangements with third parties.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Agreements with Crown Bioscience (Taicang) Related to Vebreltinib</w:t>
      </w:r>
    </w:p>
    <w:p>
      <w:pPr>
        <w:pStyle w:val="TextBody"/>
        <w:bidi w:val="0"/>
        <w:spacing w:before="120" w:after="283"/>
        <w:jc w:val="left"/>
        <w:rPr>
          <w:rFonts w:ascii="Times New Roman" w:hAnsi="Times New Roman"/>
          <w:sz w:val="20"/>
        </w:rPr>
      </w:pPr>
      <w:r>
        <w:rPr>
          <w:rFonts w:ascii="Times New Roman" w:hAnsi="Times New Roman"/>
          <w:color w:val="000000"/>
          <w:sz w:val="20"/>
        </w:rPr>
        <w:t>Avistone has the exclusive rights to vebreltinib in China, Hong Kong and Macau, while we have the exclusive rights to vebreltinib in the rest of the world (please refer to “—</w:t>
      </w:r>
      <w:r>
        <w:rPr>
          <w:rFonts w:ascii="Times New Roman" w:hAnsi="Times New Roman"/>
          <w:i/>
          <w:color w:val="000000"/>
          <w:sz w:val="20"/>
        </w:rPr>
        <w:t>Intellectual Property Assignment</w:t>
      </w:r>
      <w:r>
        <w:rPr>
          <w:rFonts w:ascii="Times New Roman" w:hAnsi="Times New Roman"/>
          <w:color w:val="000000"/>
          <w:sz w:val="20"/>
        </w:rPr>
        <w:t>” above for further details). With respect to the rights for vebreltinib in China, Hong Kong and Macau, Crown Bioscience (Taicang) and Pearl entered into an exclusive license agreement on November 7, 2012 (the “Pearl Agreement”), pursuant to which Crown Bioscience (Taicang) granted to Pearl an exclusive license under certain intellectual property rights to develop and commercialize vebreltinib in China, Hong Kong and Macau (the “Pearl Territory”), and Pearl granted to Crown Bioscience (Taicang) the right to use the intellectual property related to vebreltinib and generated by or on behalf of Pearl in the Pearl Territory for patent applications, clinical development and commercialization of vebreltinib outside the Pearl Territory. Pursuant to the Pearl Agreement, Pearl shall pay Crown Bioscience (Taicang) royalties, subject to the achievement of certain milestones. Unless earlier terminated by either party due to the other party’s material breach (subject to specified conditions) or by both parties upon mutual agreement, the Pearl Agreement remains effective until the earlier of (i) the expiration of the patents covering the intellectual property licensed thereunder and (ii) the date on which it is clearly known that the patent applications related to the licensed intellectual property has ultimately been rejected by the relevant governmental authorities or patent office in China. On May 17, 2016, Pearl and Crown Bioscience (Taicang) entered into a patent assignment agreement, pursuant to which Pearl acquired all right, title and interest in a China Patent (No. ZL201210322359.1) titled “</w:t>
      </w:r>
      <w:r>
        <w:rPr>
          <w:rFonts w:ascii="Times New Roman" w:hAnsi="Times New Roman"/>
          <w:i/>
          <w:color w:val="000000"/>
          <w:sz w:val="20"/>
        </w:rPr>
        <w:t>highly selective c-Met inhibitors as anticancer agents</w:t>
      </w:r>
      <w:r>
        <w:rPr>
          <w:rFonts w:ascii="Times New Roman" w:hAnsi="Times New Roman"/>
          <w:color w:val="000000"/>
          <w:sz w:val="20"/>
        </w:rPr>
        <w:t>” by way of an assignment by Crown Bioscience (Taicang).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28, 2016, we (then known as CB Therapeutics, Inc.) entered into a data sublicense agreement with Crown Bioscience (Taicang) (the “Pearl Sublicense Agreement”), under which Crown Bioscience (Taicang) granted to us an exclusive, royalty-free sublicense under certain intellectual property rights and materials made by or on behalf of Pearl for the research, development and commercialization of vebreltinib and the application of patents outside China. We have no obligations to make any payment to Crown Bioscience (Taicang), Pearl or any other third party under the Pearl Sublicense Agreement. The Pearl Sublicense Agreement remains effective with respect to vebreltinib until the expiration or termination of the Pearl Agreement. In the event of termination of the Pearl Agreement, Crown Bioscience (Taicang) will use its best efforts to have Pearl enter into an agreement with us pursuant to which Pearl shall grant us the same right, title and interest as it has granted to Crown Bioscience (Taicang) under the terminated Pearl Agreement, to the extent not already granted to us according to the Pearl Sublicense Agreement. Subject to specified notice period, we may terminate the Pearl Sublicense Agreement by written notice for convenience. Either party may, subject to specified cure periods, terminate the Pearl Sublicense Agreement in the event of the other party’s uncured material breach.</w:t>
      </w:r>
    </w:p>
    <w:p>
      <w:pPr>
        <w:pStyle w:val="TextBody"/>
        <w:bidi w:val="0"/>
        <w:jc w:val="left"/>
        <w:rPr>
          <w:rFonts w:ascii="Times New Roman" w:hAnsi="Times New Roman"/>
          <w:color w:val="000000"/>
          <w:sz w:val="20"/>
        </w:rPr>
      </w:pPr>
      <w:r>
        <w:rPr>
          <w:rFonts w:ascii="Times New Roman" w:hAnsi="Times New Roman"/>
          <w:color w:val="000000"/>
          <w:sz w:val="20"/>
        </w:rPr>
        <w:t>On December 15, 2022, we entered into a collaboration agreement with Pearl (the “Pearl Collaboration Agreement”). Under the Pearl Collaboration Agreement, we have agreed to work collaboratively to further the development, regulatory approval and commercialization of vebreltinib in our respective territories, including the sharing of data regarding vebreltinib and exploration of potential commercial arrangements with one or more third-party major, global pharmaceutical companies. We will take the lead on identifying a partner for the out-licensing of global rights to commercialize vebreltinib for all human uses (including cancer) on commercially reasonable terms, and Pearl will provide us with support in connection with such activities. If we are able to enter into a partnership with a pharma partner outside of China, then Pearl will have a right to share in the revenue from such partnership, ranging from 10-15%, depending on the territory and milestone. The Pearl Collaboration Agreement is in effect for 15 years, unless terminated earlier by either party for material breach or insolvency.</w:t>
      </w:r>
    </w:p>
    <w:p>
      <w:pPr>
        <w:pStyle w:val="TextBody"/>
        <w:bidi w:val="0"/>
        <w:jc w:val="left"/>
        <w:rPr>
          <w:rFonts w:ascii="Times New Roman" w:hAnsi="Times New Roman"/>
          <w:color w:val="000000"/>
          <w:sz w:val="20"/>
        </w:rPr>
      </w:pPr>
      <w:r>
        <w:rPr>
          <w:rFonts w:ascii="Times New Roman" w:hAnsi="Times New Roman"/>
          <w:color w:val="000000"/>
          <w:sz w:val="20"/>
        </w:rPr>
        <w:t xml:space="preserve">Beijing Pearl has been rebranded as Avistone Pharmaceuticals and Biotechnology Co, Ltd.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Agreements with Crown Bioscience (Taicang) and Genor Related to APL-501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Genor is our APL-501 partner in China.</w:t>
      </w:r>
    </w:p>
    <w:p>
      <w:pPr>
        <w:pStyle w:val="TextBody"/>
        <w:bidi w:val="0"/>
        <w:spacing w:before="120" w:after="283"/>
        <w:jc w:val="left"/>
        <w:rPr>
          <w:rFonts w:ascii="Times New Roman" w:hAnsi="Times New Roman"/>
          <w:sz w:val="20"/>
        </w:rPr>
      </w:pPr>
      <w:r>
        <w:rPr>
          <w:rFonts w:ascii="Times New Roman" w:hAnsi="Times New Roman"/>
          <w:color w:val="000000"/>
          <w:sz w:val="20"/>
        </w:rPr>
        <w:t>We have the ex-China rights for APL-501 (please refer to “—</w:t>
      </w:r>
      <w:r>
        <w:rPr>
          <w:rFonts w:ascii="Times New Roman" w:hAnsi="Times New Roman"/>
          <w:i/>
          <w:color w:val="000000"/>
          <w:sz w:val="20"/>
        </w:rPr>
        <w:t>Intellectual Property Assignment</w:t>
      </w:r>
      <w:r>
        <w:rPr>
          <w:rFonts w:ascii="Times New Roman" w:hAnsi="Times New Roman"/>
          <w:color w:val="000000"/>
          <w:sz w:val="20"/>
        </w:rPr>
        <w:t xml:space="preserve">” above for further details). With respect to the rights for APL-501 in China, Crown Bioscience (Taicang) and Genor entered into an exclusive license agreement on March 28, 2015 (the “Genor Agreement”), pursuant to which Crown Bioscience (Taicang) granted to Genor an exclusive license under certain intellectual property rights to develop and commercialize APL-501 in China, and Genor granted to Crown Bioscience (Taicang) the right to use the intellectual property related to APL-501 and generated by or on behalf of Genor in China for clinical development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commercialization of APL-501 outside China. Pursuant to the Genor Agreement, Genor shall pay Crown Bioscience (Taicang) upfront payment, milestone payments and sales royalties, subject to specified trigger events. Unless earlier terminated by either party due to the other party’s material breach (subject to specified conditions), the Genor Agreement remains effective until the later of (i) the full performance of rights and obligations of both parties thereto, and (ii) the expiration of the last patent covering the intellectual property licensed thereunder.</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28, 2016, we (then known as CB Therapeutics, Inc.) entered into a data sublicense agreement with Crown Bioscience (Taicang) (the “Genor Sublicense Agreement”), under which Crown Bioscience (Taicang) granted to us an exclusive sublicense under certain intellectual property rights and materials made by or on behalf of Genor for the research, development and commercialization of APL-501 and the application of patents outside China. Pursuant to the Genor Sublicense Agreement, if Genor has provided Crown Bioscience (Taicang) with the relevant preclinical research, CMC and clinical trial data of APL-501 upon request, and we or any of our affiliates or sublicensees registers and sells APL-501 outside China, we will pay up to 3% of annual net sales to Crown Bioscience (Taicang) which in turn will pay Genor to discharge its relevant payment obligations under the Genor Agreement. Other than the obligation to pay Crown Bioscience (Taicang) mentioned in the preceding sentence, we have no obligations to make any payment to Crown Bioscience (Taicang), Genor or any other third party under the Genor Sublicense Agreement or the Triparty Genor Agreement (as defined below). The Genor Sublicense Agreement remains effective with respect to APL-501 until the expiration or termination of the Genor Agreement. In the event of termination of the Genor Agreement, Crown Bioscience (Taicang) will use its best efforts to have Genor enter into an agreement with us pursuant to which Genor shall grant us the same right, title and interest as it has granted to Crown Bioscience (Taicang) under the terminated Genor Agreement, to the extent not already granted to us according to the Genor Sublicense Agreement. Subject to specified notice period, we may terminate the Genor Sublicense Agreement by written notice for convenience. Either party may, subject to specified cure periods, terminate the Genor Sublicense Agreement in the event of the other party’s uncured material breach.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2018, Crown Bioscience (Taicang), Genor and our Company entered into a tri-party agreement delineating the rights and obligations of all three parties with respect to the development and commercialization of APL-501 (the “Tri-party Genor Agreement”), pursuant to which Genor is obliged to provide data, know-how, cell banks and other data rights directly to us and our affiliates or sublicensees that we may reasonably request and collaborate with us and our affiliates or sublicensees in good faith in developing APL-501, according to the Genor Agreement. Under the Tri-party Genor Agreement, Genor also granted to us, effective upon any early termination of the Genor Agreement, the same right, title and interest as Genor has granted to Crown Bioscience (Taicang) under the terminated Genor Agreement. The Tri-party Genor Agreement remains effective until terminated (a) by mutual written consent of Genor and us, or (b) by us upon prior written notice to Crown Bioscience (Taicang) and Genor.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Genor has been merged with Edding Group Company Limited and rebranded as Edding Genor Group Holdings Limited.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Agreements with Crown Bioscience (Taicang) and CTTQ Related to APL-502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CTTQ is our APL-502 partner in China.</w:t>
      </w:r>
    </w:p>
    <w:p>
      <w:pPr>
        <w:pStyle w:val="TextBody"/>
        <w:bidi w:val="0"/>
        <w:spacing w:before="120" w:after="283"/>
        <w:jc w:val="left"/>
        <w:rPr>
          <w:rFonts w:ascii="Times New Roman" w:hAnsi="Times New Roman"/>
          <w:sz w:val="20"/>
        </w:rPr>
      </w:pPr>
      <w:r>
        <w:rPr>
          <w:rFonts w:ascii="Times New Roman" w:hAnsi="Times New Roman"/>
          <w:color w:val="000000"/>
          <w:sz w:val="20"/>
        </w:rPr>
        <w:t>CTTQ has the rights to APL-502, also known as TQB-2450, in China, while we have the rights to APL-502 in the rest of the world (please refer to “—</w:t>
      </w:r>
      <w:r>
        <w:rPr>
          <w:rFonts w:ascii="Times New Roman" w:hAnsi="Times New Roman"/>
          <w:i/>
          <w:color w:val="000000"/>
          <w:sz w:val="20"/>
        </w:rPr>
        <w:t>Intellectual Property Assignment</w:t>
      </w:r>
      <w:r>
        <w:rPr>
          <w:rFonts w:ascii="Times New Roman" w:hAnsi="Times New Roman"/>
          <w:color w:val="000000"/>
          <w:sz w:val="20"/>
        </w:rPr>
        <w:t>” above for further details). With respect to the rights for APL-502 in China, Crown Bioscience (Taicang) and CTTQ entered into a technology development agreement related to a humanized anti-PD-L1 monoclonal antibody (the “CTTQ Technology Agreement”) on October 28, 2014, pursuant to which Crown Bioscience (Taicang) granted to CTTQ an exclusive royalty-bearing license under certain intellectual property rights to develop, manufacture and commercialize an IDD-505 humanized anti-PD-L1 monoclonal antibody (referred to as APL-502 by us) in China (the “CTTQ Territory”) for the treatment and prevention of human diseases (the “CTTQ Products”). CTTQ granted to Crown Bioscience (Taicang) the right to exploit the subsequent development and improvements, generated by or on behalf of CTTQ in the CTTQ Territory, that are made to the CTTQ Products for IND and NDA filings, license grant, clinical development and commercialization of APL-502 outside the CTTQ Territory by Crown Bioscience (Taicang) or its affiliates, subject to certain terms and conditions and payment of specified royalties. Pursuant to the CTTQ Technology Agreement, CTTQ shall pay Crown Bioscience (Taicang) upfront payment, milestone payments and sales royalties, subject to specified trigger events. Unless earlier terminated by either party due to the other party’s material breach (subject to specified conditions) or by CTTQ if the licensed patents (i) have been or are evidenced to be invalidated or (ii) have infringed or are evidenced to infringe other third party’s rights, the CTTQ Technology Agreement remains effective until the full performance of rights and obligations of both parties thereto.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28, 2016, we (then known as CB Therapeutics, Inc.) entered into a data sublicense agreement with Crown Bioscience (Taicang) (the “CTTQ Sublicense Agreement”), under which Crown Bioscience (Taicang) granted to us an exclusive sublicense under certain intellectual property rights and materials made by or on behalf of CTTQ for the research, development and commercialization of APL-502 and the application of patents outside CTTQ Territory. Pursuant to the CTTQ Sublicense Agreement, if CTTQ has provided Crown Bioscience (Taicang) with the relevant preclinical research, CMC and clinical trial data of APL-502 upon request, and we or any of our affiliates or sublicensees registers and sells APL-502 outside China, we will pay up to 3.5% of annual net sales to CTTQ. Other than the obligation to pay CTTQ mentioned in the preceding sentence, we have no obligations to make any payment to Crown Bioscience (Taicang), CTTQ or any other third party under the CTTQ Sublicense Agreement or the Tri-party CTTQ Agreement (as defined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CTTQ Sublicense Agreement remains effective with respect to APL-502 until the expiration or termination of the CTTQ Technology Agreement. In the event of termination of the CTTQ Technology Agreement, Crown Bioscience (Taicang) will use its best efforts to have CTTQ enter into an agreement with us pursuant to which CTTQ shall grant us the same right, title and interest as it has granted to Crown Bioscience (Taicang) under the terminated CTTQ Technology Agreement, to the extent not already granted to us according to the CTTQ Sublicense Agreement. Subject to specified notice period, we may terminate the CTTQ Sublicense Agreement by written notice for convenience. Either party may, subject to specified cure periods, terminate the CTTQ Sublicense Agreement in the event of the other party’s uncured material breach.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8, 2017, we (then known as CB Therapeutics, Inc.) entered into a tri-party agreement with Crown Bioscience (Taicang) and CTTQ (the “Tri-party CTTQ Agreement”), pursuant to which CTTQ is obliged to provide data and materials directly to us that we may reasonably request and collaborate with us and our affiliates in good faith in developing APL-502, according to the CTTQ Technology Agreement. Under the Tri-party CTTQ Agreement, CTTQ also granted to us, effective upon any early termination of the CTTQ Technology Agreement, the same right, title and interest as CTTQ has granted to Crown Bioscience (Taicang) under the terminated CTTQ Technology Agreement. The Tri-party CTTQ Agreement remains effective until (a) terminated by written consent of the parties thereto, (b) terminated by us upon prior written notice to Crown Bioscience (Taicang) and CTTQ, or (c) the date on which the CTTQ Technology Agreement is terminated.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LaunXP</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March 31, 2025, we announced an agreement with LaunXP International, an affiliate of LaunXP Biomedical Co., Ltd. (TWO: 6876) (“LaunXP”), for the development and commercialization in Asia (excluding mainland China, Hong Kong and Macau) of vebreltinib, our proprietary c-Met inhibitor, in combination with an EGFR inhibitor (“EGFRi”) for the treatment of NSCLC. The EGFRi class of targeted kinase inhibitors is currently a foundational targeted therapy for the treatment of NSCLC and other tumor types. Under the terms of the agreement, we are entitled to receive upfront payments totaling $10 million. Although there were initial delays in receiving the full $10.0 million upfront payment, which resulted in a notice of breach issued by the Company in July 2025, LaunXP subsequently made partial payments, bringing the total amount paid to $6.2 million as of December 31, 2025. Of the remaining $3.8 million, $2.3 million has been recorded as accounts receivable, while an additional $1.5 million has not yet been billed. LaunXP has proposed a revised payment schedule contingent upon the completion of its own capital raising exercise, which it anticipates concluding in Q2 2026. The agreement remains in full force and effect, and both parties continue to maintain active discussions to advance the ongoing collaboration. We are also eligible for regulatory and other pre-commercial milestones up to $50 million, and royalties on net product sales. LaunXP will be primarily responsible for the development of vebreltinib in combination with an EGFRi in the LaunXP territory for the treatment of NSCLC.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Edison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previously entered into a license agreement with Edison on January 31, 2021, as amended on August 11, 2023, regarding the development and commercialization of APL-122. On December 11, 2025, the Company formally terminated the Edison Agreement due to Edison’s multiple, persistent, and material breaches of its core contractual obligations. The termination took immediate effect. We dispute any outstanding payment obligations claimed by Edison based on Edison’s non-performance, and we intend to vigorously defend our position and reserve all rights and remedies available under the agreement and applicable law. As a result of this termination, all rights previously licensed to us under the Edison Agreement have reverted or ceased.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 xml:space="preserve">RevMab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RevMab is our partner for our discovery stage candidates related to antibodies against CD40. The discovery activities relating to this partnership have resulted in the development of our early stage candidate, APL-801.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RevMab is a biotechnology company based in South San Francisco, California focused on the development of recombinant monoclonal antibodies using a revolutionary technology that does not require cell fusion and hybridoma generation.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12, 2019, we entered into a collaboration and license agreement with RevMab (the “RevMab Agreement”), whereby both parties agreed to collaborate to develop and commercialize certain antibodies against CD40 (the “mAb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RevMab Agreement, RevMab granted to us a worldwide, exclusive, sublicensable license under certain intellectual property controlled by RevMab or its affiliates, including know-how and a patent application covering composition of matter and method of use relating to certain novel anti-CD40 antibodies, to research, develop, make and commercialize the mAb Products for the prevention, treatment, control or diagnosis of any and all human disorders or conditions in the world, and we granted to RevMab a non-exclusive, non-sublicensable license under certain intellectual property controlled by us or our affiliates, including any patents covering checkpoint inhibitors or mAb Products, solely for the purpose of development of the mAb Products by RevMab for use by Apollomics, its affiliates, its sublicensees, or assigns in accordance with the RevMab Agreement. The RevMab Agreement established a joint steering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committee comprised of some of our senior executives and RevMab senior executives. This committee provides high-level oversight and decision-making regarding the development activities contemplated in the RevMab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RevMab Agreement will continue in effect on a country by country basis per mAb Product in the applicable territory until the date upon which no Valid Claim (as defined in the RevMab Agreement) exists or for a period of 20 years, whichever is later. We can terminate the RevMab Agreement at any time, with or without cause, so long as we provide notice as provided in the RevMab Agreement; however, termination by us would not impact our obligation to effectuate the payments outlined below to the extent such obligations accrued prior to termination.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achievement of delineated regulatory milestones, Apollomics has agreed to make payments to RevMab totaling up to $6,000,000. We have paid $590,000 under the RevMab Agreement through 2025, including a $300,000 upfront payment, and incurred developmental expenses of nil in 2019, $140,000 in 2021, $150,000 in 2022 and nil in each of the years 2023 through 2025. Apollomics will also pay RevMab a royalty rate of 2% of net sales of mAb Products, subject to adjustment depending on the extent to which third party payments are required.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GlycoMimetics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 2020, we entered into an exclusive license and collaboration agreement with GlycoMimetics concerning the development and commercialization of uproleselan and APL-108, a follow-on compound to uproleselan, i.e., the GlycoMimetics Agreement, for all therapeutic and prophylactic uses in humans in Greater China. Due to the clinical results described above, in February 2025 we notified GlycoMimetics of the termination of the GlycoMimetics Agreement, which would have become effective in May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Handling of Subject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Personal data of the study participants of our clinical trials is managed by our CROs. Other clinical data is stored in secure clinical databases which are developed and managed by our CROs. We therefore are involved with receiving, collecting, generating, storing, processing, transmitting and maintaining medical data treatment records and other personal details of subjects enrolled in our clinical trials, along with other personal or sensitive information. Only appropriate clinical trial personnel, including our clinical trial managers and investigators from the CROs, have access to the data within the relevant database. Access to the database is restricted by password controls and a user access list for the clinical trial databases is maintained to ensure that user access rights are granted on a need-to-know basis. All of our CROs are required to comply with the applicable good clinical practices guidelines, which include clauses on data management, 45 CFR 164, Security and Privacy, of the U.S. Code of Federal Regulations, and other applicable state or federal data privacy and cybersecurity laws, which cover the data protection and privacy of electronic protected health information. We conduct audits on an annual basis to ensure that the CROs are following regulatory requirements properly.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proven track record of collaborating with biopharmaceutical and biotechnology companies across the globe, which underscores our credibility with global biopharmaceutical and biotechnology companies and paves the way for long-term collaborations. In these arrangements, we typically exchange data with our licensors for development and regulatory purposes. We believe these arrangements will speed up the development of our product candidates. In the future, we may enter into additional collaboration and in-licensing opportunities with global industry players.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is characterized by rapidly evolving technologies, competition, strong emphasis on intellectual property and proprietary drugs. While we believe that our expertise, scientific knowledge and product candidates developed so far provide us with competitive advantages, we face potential competition from many known and unknown entities, including existing and new biopharmaceutical companies, academic institutions and public and private research institutions. Any product candidates that we successfully develop and commercialize would compete with existing drugs and new drugs that may become available in the future.</w:t>
      </w:r>
    </w:p>
    <w:p>
      <w:pPr>
        <w:pStyle w:val="TextBody"/>
        <w:bidi w:val="0"/>
        <w:jc w:val="left"/>
        <w:rPr>
          <w:rFonts w:ascii="Times New Roman" w:hAnsi="Times New Roman"/>
          <w:color w:val="000000"/>
          <w:sz w:val="20"/>
        </w:rPr>
      </w:pPr>
      <w:r>
        <w:rPr>
          <w:rFonts w:ascii="Times New Roman" w:hAnsi="Times New Roman"/>
          <w:color w:val="000000"/>
          <w:sz w:val="20"/>
        </w:rPr>
        <w:t>We operate in the segments of the pharmaceutical, biopharmaceutical and other related markets that address oncology diseases. There are many other companies spread across the world working to develop similar therapies in these fields. These companies include divisions of large pharmaceutical companies and biopharmaceutical companies of various sizes. Many of the companies against which we are competing or may compete in the future may have significantly greater financial resources and expertise in R&amp;D, manufacturing, preclinical testing, conducting clinical trials, obtaining regulatory approvals and marketing approved drugs than we do. Mergers and acquisitions in our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and recruiting subjects for clinical trials, as well as acquiring technologies or assets complementary to, or necessary for, our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Companies with approved drugs or late-stage product candidates targeting c-Met include Abbvie, AstraZeneca, EMD Serono, Johnson &amp; Johnson and Novartis. In addition, many other biopharmaceutical companies have earlier-stage programs targeting c-Met. Furthermore, the FDA has approved over 80 drugs for the treatment of NSCLC for varying lines of therapy, and in many cases for the treatment of disease with specific mutations. Our commercial opportunity could be reduced or eliminated if our competitors develop and commercialize drugs that are safer or more effective, have fewer or less severe side effects, are more convenient, or are less expensive than any drugs that we or our partners may develop. Our competitors may also obtain regulatory approvals for their drugs earlier than we do for ours, which could result in our competitors establishing a strong market position before we or our partners are able to enter the market. The key competitive factors affecting the success of all of our product candidates, if approved, are likely to be their efficacy, safety, convenience and price, the effectiveness of companion diagnostics in guiding the use of related therapeutics, the level of generic competition, and the availability of reimbursement from government and other third-party payors.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CMC team works closely with our collaboration partners and CMOs to ensure supply of high quality materials for preclinical and clinical development of our product candidates. With our experienced CMC team and knowledge in CMC of small molecules and biologics, we are able to advance product candidates through the development cycle.</w:t>
      </w:r>
    </w:p>
    <w:p>
      <w:pPr>
        <w:pStyle w:val="TextBody"/>
        <w:bidi w:val="0"/>
        <w:jc w:val="left"/>
        <w:rPr>
          <w:rFonts w:ascii="Times New Roman" w:hAnsi="Times New Roman"/>
          <w:color w:val="000000"/>
          <w:sz w:val="20"/>
        </w:rPr>
      </w:pPr>
      <w:r>
        <w:rPr>
          <w:rFonts w:ascii="Times New Roman" w:hAnsi="Times New Roman"/>
          <w:color w:val="000000"/>
          <w:sz w:val="20"/>
        </w:rPr>
        <w:t>Manufacturing is subject to extensive regulations that impose various procedural and documentation requirements governing recordkeeping, manufacturing processes and controls, personnel, quality control, and quality assurance, among others. We have worked with our partners and designed our manufacturing processes in compliance with cGMP, cGLP, and other regulatory requirements in relevant jurisdictions globally.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Commercialization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plan is to remain a development company, and plan collaborative partnerships or outlicense the commercial rights of our product candidates with companies with an established commercial team in relevant therapeutic area(s) to maximize the potentials of our compounds. In addition, to ensure continuity and optimization of value, we intend to conduct pre-commercial activities to support the development of our clinical assets as they advance closer to commercialization. Prior to making a written commitment to a commercial partner, we intend to maintain the option of developing internal sales and marketing capabilities to commercialize ourselves in the best interest of the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rights are important to the success of our business. Our future commercial success depends, in part, on our ability to obtain and maintain patent protection and other intellectual property for commercially important technologies, inventions and know-how related to our business, defend and enforce our patents, preserve the confidentiality of our trade secrets, and operate without infringing, misappropriating or otherwise violating the valid, enforceable intellectual property rights of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Annual Report, we owned a total of 65 granted or issued patents and 24 pending patent applications, including one pending PCT applications, relating to our product candidates and technologies. The patent portfolios for vebreltinib and our other product candidates as of the date of this Annual Report are summarized below:</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Vebreltinib</w:t>
      </w:r>
      <w:r>
        <w:rPr>
          <w:rFonts w:ascii="Times New Roman" w:hAnsi="Times New Roman"/>
          <w:color w:val="000000"/>
          <w:sz w:val="20"/>
        </w:rPr>
        <w:t>. We own one issued U.S. patent and six issued patents in other jurisdictions. We also own four pending U.S. patent applications, three pending Chinese patent application, and sixteen pending patent applications in other jurisdictions. All of the issued patents are expected to expire in 2033, before taking into account any extension that may be obtained through patent term extension or adjustment, or term reduction due to filing of terminal disclaimers.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APL-501</w:t>
      </w:r>
      <w:r>
        <w:rPr>
          <w:rFonts w:ascii="Times New Roman" w:hAnsi="Times New Roman"/>
          <w:color w:val="000000"/>
          <w:sz w:val="20"/>
        </w:rPr>
        <w:t>. We own three issued U.S. patents and twenty-three issued patents in other jurisdictions in this patent family. We also own one pending patent application. The issued patents are expected to expire in 2035, before taking into account any extension that may be obtained through patent term extension or adjustment, or term reduction due to filing of terminal disclaimers. We also own four pending PD-1-IL10 fusion protein applications.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APL-502</w:t>
      </w:r>
      <w:r>
        <w:rPr>
          <w:rFonts w:ascii="Times New Roman" w:hAnsi="Times New Roman"/>
          <w:color w:val="000000"/>
          <w:sz w:val="20"/>
        </w:rPr>
        <w:t>. We own three issued U.S. patents and twenty-one issued patents in other jurisdictions in this patent family. We also own three pending patent applications in other jurisdictions. The issued patents are expected to expire in 2035, before taking into account any extension that may be obtained through patent term extension or adjustment, or term reduction due to filing of terminal disclaimers.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details of the granted patents and the filed patent applications owned by us on vebreltinib, APL-501, and APL-502.</w:t>
      </w:r>
    </w:p>
    <w:p>
      <w:pPr>
        <w:pStyle w:val="TextBody"/>
        <w:bidi w:val="0"/>
        <w:jc w:val="left"/>
        <w:rPr/>
      </w:pPr>
      <w:r>
        <w:rPr/>
        <w:t> </w:t>
      </w:r>
    </w:p>
    <w:tbl>
      <w:tblPr>
        <w:tblW w:w="6979" w:type="dxa"/>
        <w:jc w:val="left"/>
        <w:tblInd w:w="0" w:type="dxa"/>
        <w:tblLayout w:type="fixed"/>
        <w:tblCellMar>
          <w:top w:w="28" w:type="dxa"/>
          <w:left w:w="28" w:type="dxa"/>
          <w:bottom w:w="28" w:type="dxa"/>
          <w:right w:w="28" w:type="dxa"/>
        </w:tblCellMar>
      </w:tblPr>
      <w:tblGrid>
        <w:gridCol w:w="871"/>
        <w:gridCol w:w="146"/>
        <w:gridCol w:w="2551"/>
        <w:gridCol w:w="146"/>
        <w:gridCol w:w="961"/>
        <w:gridCol w:w="146"/>
        <w:gridCol w:w="556"/>
        <w:gridCol w:w="146"/>
        <w:gridCol w:w="145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Product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Candidate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Scope / Type of Patent Protection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Jurisdiction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Status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Patent Expiration</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4"/>
        <w:gridCol w:w="146"/>
        <w:gridCol w:w="2943"/>
        <w:gridCol w:w="146"/>
        <w:gridCol w:w="4121"/>
        <w:gridCol w:w="146"/>
        <w:gridCol w:w="781"/>
        <w:gridCol w:w="146"/>
        <w:gridCol w:w="752"/>
      </w:tblGrid>
      <w:tr>
        <w:trPr/>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02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vebreltinib</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943"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Highly selective c-Met inhibitors as anticancer agents / Composition of Matter</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12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Japan, Germany, France, Great Britain, Ireland, Italy</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2033</w:t>
            </w:r>
          </w:p>
        </w:tc>
      </w:tr>
      <w:tr>
        <w:trPr/>
        <w:tc>
          <w:tcPr>
            <w:tcW w:w="10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vebreltinib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Method for treating cancer patients with c-Met point mutation or c-Met fusion gene / Method of 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China, Europe, Japan, Canada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Pending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w:t>
            </w:r>
          </w:p>
        </w:tc>
      </w:tr>
      <w:tr>
        <w:trPr/>
        <w:tc>
          <w:tcPr>
            <w:tcW w:w="10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vebreltinib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Novel pharmaceutical formulation for c-Met inhibitor / Composition of Matter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Europe, Japan, Canada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Pending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w:t>
            </w:r>
          </w:p>
        </w:tc>
      </w:tr>
      <w:tr>
        <w:trPr/>
        <w:tc>
          <w:tcPr>
            <w:tcW w:w="10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vebreltinib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Method for treating cancer patients with over-expression of HGF and c-Met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China, Europe, Japan, Canada, Australia, Korea, Brazil, Mexico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Pending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NA</w:t>
            </w:r>
          </w:p>
        </w:tc>
      </w:tr>
      <w:tr>
        <w:trPr/>
        <w:tc>
          <w:tcPr>
            <w:tcW w:w="10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APL-501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Anti-PD-1 antibodies / Mix of Composition of Matter and Method of 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 Brazil, Canada, Germany, Spain, France, United Kingdom, Hong Kong, Ireland, Israel, India, Italy, Japan, Korea, Mexico, New Zealand, Russia, South Africa, Switzerland, 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2035</w:t>
            </w:r>
          </w:p>
        </w:tc>
      </w:tr>
      <w:tr>
        <w:trPr/>
        <w:tc>
          <w:tcPr>
            <w:tcW w:w="10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APL-501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Anti-PD-1 antibodies / Mix of Composition of Matter and Method of 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Pending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NA</w:t>
            </w:r>
          </w:p>
        </w:tc>
      </w:tr>
      <w:tr>
        <w:trPr/>
        <w:tc>
          <w:tcPr>
            <w:tcW w:w="10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APL-501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PD-1+IL-10 combo / Method of 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Europe, Japan, Canada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Pending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NA</w:t>
            </w:r>
          </w:p>
        </w:tc>
      </w:tr>
      <w:tr>
        <w:trPr/>
        <w:tc>
          <w:tcPr>
            <w:tcW w:w="10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APL-502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Anti-PD-L1 antibodies / Mix of Composition of Matter and Method of 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 Brazil, Europe, India, Israel, Japan, Korea, Mexico, New Zealand, Russia, U.S., South Africa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2035</w:t>
            </w:r>
          </w:p>
        </w:tc>
      </w:tr>
      <w:tr>
        <w:trPr/>
        <w:tc>
          <w:tcPr>
            <w:tcW w:w="1024"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APL-502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Anti-PD-L1 antibodies / Mix of Composition of Matter and Method of 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 Mexico, Singapore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Pending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terms of individual patents may vary based on the jurisdictions in which they are obtained. In most jurisdictions in which we file patent applications, including China and the United States, the term of an issued patent is generally 20 years from the filing date of the earliest non-provisional patent application on which the patent is based in the applicable country. In the United States, an issued patent’s term may be lengthened in some cases by a patent term adjustment, which extends the term of a patent to account for administrative delays by the USPTO in excess of a patent applicant’s own delays during the prosecution process. Alternatively, the term of a patent registered in the United States may be shortened if the patent is terminally disclaimed over, and will expire on the same day as, a commonly-owned patent having an earlier expiration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with respect to any issued patents in the United States and European Union, we may be entitled to obtain an extension of the patent’s term from the respective government agencies that review and approve NDAs provided we meet the applicable requirements for obtaining such patent term extensions. For example, in the United States, we may apply for a patent term extension of up to five years as compensation for the patent term lost during clinical trials and the FDA regulatory review process under the Drug Price Competition and Patent Term Restoration Act of 1984, referred to as the Hatch-Waxman Amendments. The exact duration of the extension depends on the time we spend in clinical trials, as well as getting an NDA approval from the FDA. However,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Japan is another country where similar patent term extension is currently available, and Japan appears to have harmonized the major components of its patent term extensions with those of the United States and European Union, with the extension not exceeding five years. In China, the Standing Committee of the National People’s Congress (“SCNPC”) promulgated the amended Patent Law of the PRC in October 2020, which became effective on June 1, 2021 and provides for patent term adjustment and patent term extension for the first time. Patent term adjustment is available to Chinese invention patents, to compensate unreasonable delays caused by patent office in excess of a patent applicant’s own delays during the patent examination procedures. Patent term extension of up to five years is available to Chinese invention patents claiming new drugs to compensate for the time spent during regulatory process, provided that the total term of the patent after extension cannot exceed 14 years in total commencing on the date of new drug approval. On November 27, 2020, the China National Intellectual Property Administration (“CNIPA”) published the Proposed Amendments to Implementing Rules of the Patent Law of the PRC for public comments, proposing detailed implementation rules for patent term extension and adjustment, including but without limitation, the eligible type of patents, requirements for the application for patent term extension and adjustment, calculation method of the extension, and limitations during the extended patent term. However, those proposed amendments for the drug patent extension system have not yet been finalized or adopted, and therefore the implementation, interpretation and enforcement of laws and regulations regarding the patent extension system remain uncertain.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protection afforded by a patent varies on a claim-by-claim and country-by-country basis and depends upon many factors, including the type of patent, the scope of its coverage, the availability of any patent term extensions or adjustments, the availability of legal remedies in a particular country and the validity and enforceability of the patent. With respect to vebreltinib, we own patents and patent applications that cover the structure of vebreltinib, the use of vebreltinib for treating and method for treating cancer and the formulation of vebreltinib. For further information, please refer to the table summarizing the details of the issued patents and the filed patent applications owned by us on vebreltinib, APL-501, APL-502 and APL-102 above in this section. We cannot provide any assurance that patents will issue with respect to any of our owned or licensed pending patent applications or any such patent applications that may be filed in the future, nor can we provide any assurance that any of our owned or licensed issued patents or any such patents that may be issued in the future will be commercially useful in protecting our product candidates, uses of our products and methods of manufacturing our products.</w:t>
      </w:r>
    </w:p>
    <w:p>
      <w:pPr>
        <w:pStyle w:val="TextBody"/>
        <w:bidi w:val="0"/>
        <w:jc w:val="left"/>
        <w:rPr>
          <w:rFonts w:ascii="Times New Roman" w:hAnsi="Times New Roman"/>
          <w:color w:val="000000"/>
          <w:sz w:val="20"/>
        </w:rPr>
      </w:pPr>
      <w:r>
        <w:rPr>
          <w:rFonts w:ascii="Times New Roman" w:hAnsi="Times New Roman"/>
          <w:color w:val="000000"/>
          <w:sz w:val="20"/>
        </w:rPr>
        <w:t>We are aware of numerous issued patents and pending patent applications belonging to third parties that exist in fields in which we are developing our product candidates. In particular: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Structure Patents</w:t>
      </w:r>
      <w:r>
        <w:rPr>
          <w:rFonts w:ascii="Times New Roman" w:hAnsi="Times New Roman"/>
          <w:color w:val="000000"/>
          <w:sz w:val="20"/>
        </w:rPr>
        <w:t>. A family of third-party issued patents in the United States and Europe claiming genus compounds that may be relevant to the structure of vebreltinib, which we refer to as the Structure Patents (the “Structure Patents”), will expire in December 2026. Because we have deferred our U.S. NDA filing for vebreltinib and do not currently anticipate commercializing the product prior to the expiration of these patents, we do not expect the Structure Patents to present a material barrier to our commercialization efforts. However, in the unlikely event that we were to commercialize vebreltinib prior to the expiration of the Structure Patents, the relevant third party may contend that we need to obtain a license before commercialization in relevant jurisdictions and to pay license fees. We cannot assure you that we will be able to obtain the license on commercially acceptable terms, and if we fail to do so, we face the risk that the third party may initiate legal proceedings against us. In the worst case scenario, i.e., we fail to reach an agreement with the third party and a court’s judgment is in favor of the third party, we may need to suspend or delay the commercialization of vebreltinib until the expiration of the Structure Patents.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The General Method Patent</w:t>
      </w:r>
      <w:r>
        <w:rPr>
          <w:rFonts w:ascii="Times New Roman" w:hAnsi="Times New Roman"/>
          <w:color w:val="000000"/>
          <w:sz w:val="20"/>
        </w:rPr>
        <w:t>. A third-party issued patent in the United States claiming the use of a particular c-Met antagonist for treating lung tumors, which we refer to as the General Method Patent (the “General Method Patent”), will expire in 2026 and may cover the use of vebreltinib in certain indications. A term relating to c-Met antagonist in the relevant claims of the General Method Patent may be interpreted as not including c-Met TKIs that bind to the ATP-binding pocket of the c-Met kinase domain but do not interfere with the interaction of c-Met and HGF, and thus would not cover vebreltinib. If such term is broadly interpreted as including those c-Met tyrosine kinase inhibitors, the relevant claims might encompass c-Met tyrosine kinase inhibitors of prior art teachings and thus should be held invalid for lacking novelty or inventiveness in view of prior art. In light of such assessment, we may challenge the patent validity before the court or administrative agency in any relevant jurisdiction and initiate invalidation action if needed. However, there is no assurance that the court or administrative agency would agree with our assessment. In the worst case scenario, i.e., the validity of General Method Patent is upheld and the patent holder succeeds in a court order for infringement and injunction, we may need to delay the commercialization of vebreltinib in the relevant jurisdiction until expiration of the General Method Patent.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our knowledge, there are no claims already pursued by any third party for infringement of any of the Structure Patents or the General Method Patent in relation to the commercialization of other product(s) which is/ are similar to vebreltinib. In relation to the Structure Patents and the General Method Patent, we believe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existence of the Structure Patents and the General Method Patent, we have not infringed the intellectual property rights of any third parties that may give rise to a claim of infringement of intellectual property rights by any third party for injunctive relief or actual damages because the jurisdictions where we are conducting clinical trials exempt clinical trials and other activities for obtaining regulatory approvals from patent infringements.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underlying claims in relation to such potential licensing demands or allegations of infringement, if pursued, might not prevail if the validity or valid scope of the relevant patents is not acknowledged by the relevant court or administrative agency.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any issued patent in the United States or European Union, the term of which is extended to compensate for the patent term lost during the clinical trials and regulatory review, the rights derived from such patent during the extended period are only limited to the structure of an approved drug, its salts or other forms, and its approved indications. The patent term of a third-party issued patent in a jurisdiction may only be eligible for extension when the relevant drug is approved in such jurisdiction and such extended patent term can be used to block the entry of a generic version of the approved drug. Even if the patent term of any of the Structure Patents and the General Method Patent is extended, such extension would not affect our clinical development plan. On March 31, 2025, we entered into an agreement with LaunXP International Co., Ltd. and commercial launch of vebreltinib as vebreltinib is not a generic version of any approved drug and we do not anticipate that vebreltinib will be a generic version of any drug to be approved.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existence of the Structure Patents, the General Method Patent, and the key patents of the approved c-Met inhibitors does not have any impact on the validity and enforceability of our issued patents in relation to vebreltinib because of the allowance of claims in our issued patents by the relevant patent offices. Please refer to the section headed Item 3.D. “</w:t>
      </w:r>
      <w:r>
        <w:rPr>
          <w:rFonts w:ascii="Times New Roman" w:hAnsi="Times New Roman"/>
          <w:i/>
          <w:color w:val="000000"/>
          <w:sz w:val="20"/>
        </w:rPr>
        <w:t xml:space="preserve">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rFonts w:ascii="Times New Roman" w:hAnsi="Times New Roman"/>
          <w:i/>
          <w:color w:val="000000"/>
          <w:sz w:val="20"/>
        </w:rPr>
        <w:t>Factors—Risks Related to Our Intellectual Property Rights—If we are sued for infringing, misappropriating, or otherwise violating intellectual property rights of third parties or engaging in unfair competition, such litigation could be costly and time-consuming and could prevent or delay us from developing or commercializing our product candidates.</w:t>
      </w:r>
      <w:r>
        <w:rPr>
          <w:color w:val="000000"/>
        </w:rPr>
        <w:t xml:space="preserve">” </w:t>
      </w:r>
      <w:r>
        <w:rPr>
          <w:rFonts w:ascii="Times New Roman" w:hAnsi="Times New Roman"/>
          <w:color w:val="000000"/>
          <w:sz w:val="20"/>
        </w:rPr>
        <w:t>for a description of risks related to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in some circumstances, on trade secrets and/or confidential information to protect aspects of our technology. We seek to protect our proprietary technology and processes, in part, by entering into confidentiality agreements with consultants, scientific advisers and contractors, and invention assignment agreements with our employees. We have entered into confidentiality agreements and non-competition agreements with our senior management and certain key members of our R&amp;D team and other employees who have access to trade secrets or confidential information about our business. Our standard employment contract, which we use to employ each of our employees, contains an assignment clause, under which we own all the rights to all inventions, technology, know-how and trade secrets derived during the course of such employee’s work.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agreements may not provide sufficient protection of our trade secrets and/or confidential information. These agreements may also be breached, resulting in the misappropriation of our trade secrets and/or confidential information, and we may not have an adequate remedy for any such breach. In addition, our trade secrets and/or confidential information may become known or be independently developed by a third party, or misused by any partners to whom we disclose such information. Despite any measures taken to protect our intellectual property, unauthorized parties may attempt to or successfully copy aspects of our products or to obtain or use information that we regard as proprietary without our consent. As a result, we may be unable to sufficiently protect our trade secrets and proprietary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also seek to preserve the integrity and confidentiality of our data and trade secrets by maintaining physical security of our premises and physical and electronic security of our information technology systems. Despite any measures taken to protect our data and intellectual property, unauthorized parties may attempt to or successfully gain access to and use information that we regard as proprietary. Please refer to the section entitled Item 3.D. “</w:t>
      </w:r>
      <w:r>
        <w:rPr>
          <w:rFonts w:ascii="Times New Roman" w:hAnsi="Times New Roman"/>
          <w:i/>
          <w:color w:val="000000"/>
          <w:sz w:val="20"/>
        </w:rPr>
        <w:t>Risk Factors—Risks Related to our Intellectual Property Rights</w:t>
      </w:r>
      <w:r>
        <w:rPr>
          <w:rFonts w:ascii="Times New Roman" w:hAnsi="Times New Roman"/>
          <w:color w:val="000000"/>
          <w:sz w:val="20"/>
        </w:rPr>
        <w:t>” for a description of risks related to our intellectual property.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 our business under the brand name of “Apollomics.” As of the date of this Annual Report, we had primarily registered 14 trademarks/classes in China, two trademarks/classes in the United States, and 24 trademarks/classes in Hong Kong.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enter into collaboration agreements and other relationships with pharmaceutical companies and other industry participants to leverage our intellectual property and gain access to the intellectual property of others. Please refer to “—</w:t>
      </w:r>
      <w:r>
        <w:rPr>
          <w:rFonts w:ascii="Times New Roman" w:hAnsi="Times New Roman"/>
          <w:i/>
          <w:color w:val="000000"/>
          <w:sz w:val="20"/>
        </w:rPr>
        <w:t>Licensing and Collaboration Arrangements</w:t>
      </w:r>
      <w:r>
        <w:rPr>
          <w:rFonts w:ascii="Times New Roman" w:hAnsi="Times New Roman"/>
          <w:color w:val="000000"/>
          <w:sz w:val="20"/>
        </w:rPr>
        <w:t>” above for further details.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date of this Annual Report, we were not involved in any proceedings in respect of, and we had not received notice of any claims of infringement of, any intellectual property rights that were threatened or pending, in which we were a claimant or a respondent.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date of this Annual Report, there had been no instance in our R&amp;D activities of product candidates, including vebreltinib, that may give rise to a claim of infringement of intellectual property rights by any third party for injunctive relief or actual damages because the jurisdictions where we are conducting R&amp;D of product candidates exempt R&amp;D activities from obtaining regulatory approvals for patent infringements. Such jurisdictions are Australia, Canada, China, Finland, France, Hungary, Italy, New Zealand, Russia, Singapore, Spain, Taiwan, the United Kingdom, Ukraine and the United States.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in the United States, at the federal, state and local level, in Europe,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in Europe and in other foreign countries and jurisdictions, along with subsequent compliance with applicable statutes and regulations and other regulatory authorities, require the expenditure of substantial time and financial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United States regulation of pharmaceutical product development and approval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FDA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pharmaceutical products are subject to extensive regulation by the FDA. The Federal Food, Drug, and Cosmetic Act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Pharmaceutical products-such as small molecule drugs and biological products, or biologics-used for the prevention, treatment, or cure of a disease or condition of a human being are subject to regulation under the FDC Act, with the exception that the section of the FDC Act that governs the approval of drugs via NDAs does not apply to the approval of biologics. In contrast, biologics are approved for marketing under provisions of the Public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Act (the “PHS Act”) via a BLA. However, the application process and requirements for approval of BLAs are very similar to those for NDAs.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 product development for a new product or certain changes to an approved product in the United States typically involves nonclinical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30-day waiting period after the submission of each IND is required prior to the commencement of clinical testing in humans in the United States. If the FDA has neither commented on nor questioned the IND within this 30-day period, the clinical trial proposed in the IND may begin. Clinical trials involve the administration of the investigational drug or biologic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and (iii) under protocols detailing the objectives of the trial and the criteria to be evaluated. Each protocol involving testing on U.S. patients and subsequent protocol amendments must be submitted to the FDA as part of the IND.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may order the temporary or permanent discontinuation of a clinical trial at any time, or impose other sanctions, if it believes that the clinical trial either is not being conducted in accordance with FDA regulations or presents an unacceptable risk to the clinical trial patients. Imposition of a clinical hold may be full or partial. The study protocol and informed consent information for patients in clinical trials must also be submitted to an IRB for approval. The IRB will also monitor the clinical trial until completed. An IRB may require the clinical trial at the site to be halted, either temporarily or permanently, for failure to comply with the IRB’s requirements, or may impose other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Clinical trials to support NDAs and BLAs for marketing approval are typically conducted in three sequential phases. In Phase 1, the initial introduction of the drug or biologic into healthy volunteers or patients, the product is tested to assess safety, dosage tolerance, metabolism, pharmacokinetics, pharmacological actions, side effects associated with drug exposure, and to obtain early evidence of a treatment effect if possible. Phase 2 usually involves trials in a limited patient population to determine the effectiveness of the drug or biologic for a particular indication, determine optimal dose and regimen, and to identify common adverse effects and safety risks. If a compound demonstrates evidence of effectiveness and an acceptable safety profile in Phase 2 evaluations, Phase 3 trials are undertaken to obtain additional information about clinical effects and confirm efficacy and safety in a larger number of patients, typically at geographically dispersed clinical trial sites, to permit the FDA to evaluate the overall benefit-risk relationship of the drug or biologic and to provide adequate information for the labeling of the product. In most cases, the FDA requires two adequate and well-controlled Phase three clinical trials to demonstrate the safety and efficacy of the drug or biologic. In rare instances, a single Phase 3 trial may be sufficient, for example,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other confirmatory evidence.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manufacturer of an investigational drug or biologic in a Phase 2 or Phase 3 clinical trial for a serious or life-threatening disease is required to make available, such as by posting on its website, its policy on evaluating and responding to requests for expanded access, sometimes called compassionate use, to such investigational drug or biologic.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After completion of the required clinical testing, an NDA or BLA is prepared and submitted to the FDA. FDA approval of the NDA or BLA is required before marketing and distribution of the product may begin in the United States. The NDA or BLA must include the results of all nonclinical, clinical, and other testing and a compilation of data relating to the product’s pharmacology, chemistry, manufacture, and controls. The cost of preparing and submitting an NDA or BLA is substantial. The submission of most NDAs and BLAs is additionally subject to a substantial application user fee. Under an approved NDA or BLA, the applicant is also subject to an annual program fee. These fees typically increase annually. An NDA or BLA for a drug that has been designated as an orphan drug is not subject to an application fee, unless the NDA or BLA includes an indication for other than a rare disease or condition. The FDA has 60 days from its receipt of an NDA or BLA to determine whether the application will be filed based on the FDA’s determination that it is sufficiently complete to permit substantive review. Once the submission is filed, the FDA begins an in-depth review. Every five years, the FDA typically agrees to certain performance goals to complete the review of NDAs and BLAs. Most applications are classified as standard review products that are reviewed within ten months of the date the FDA files the NDA or BLA; applications classified as priority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are reviewed within six months of the date the FDA files the NDA or BLA. An NDA or BLA can be classified for priority review when the FDA determines the drug or biologic has the potential to treat a serious or life-threatening condition and, if approved, would be a significant improvement in safety or effectiveness compared to available therapies. The review process for both standard and priority reviews may be extended by the FDA for three or more additional months to consider certain late-submitted information or information intended to clarify information already provided in the NDA or BLA submission.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may also refer applications for novel drug and biological products, as well as drug and biological products that present difficult questions of safety or efficacy, to be reviewed by an advisory committee-typically a panel that includes outside clinicians, statisticians and other experts-for review, evaluation, and a recommendation as to whether the NDA or BLA should be approved. The FDA is not bound by the recommendation of an advisory committee, but generally follows such recommendations. Before approving an NDA or BLA, the FDA will typically inspect one or more clinical sites to assure compliance with GCP. Additionally, the FDA will inspect the facility or the facilities at which the drug or biological product is manufactured. The FDA will not approve the product unless compliance with cGMP is satisfactory.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After the FDA evaluates the NDA or BLA and completes any clinical and manufacturing site inspections, it issues either an approval letter or a complete response letter. A complete response letter generally outlines the deficiencies in the NDA or BLA submission and may require substantial additional testing, or information, in order for the FDA to reconsider the application for approval. If, or when, those deficiencies have been addressed to the FDA’s satisfaction in a resubmission of the NDA or BLA, the FDA will issue an approval letter. The FDA has committed to reviewing such resubmissions in two or six months depending on the type of information included. An approval letter authorizes commercial marketing and distribution of the drug or biologic with specific prescribing information for specific indications.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condition of NDA or BLA approval, the FDA may require a risk evaluation and mitigation strategy (“REMS”) to help ensure that the benefits of the drug or biologic outweigh the potential risks to patients. A REMS can include medication guides, communication plans for healthcare professionals, and elements to assure safe use (“ETASU”).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Once granted, product approvals may be withdrawn if compliance with regulatory standards is not maintained or problems are identified following initial marketing. Changes to some of the conditions established in an approved NDA or BLA, including changes in indications, product labeling, manufacturing processes or facilities, require submission and FDA approval of a new NDA or BLA, or supplement to an approved NDA or BLA, before the change can be implemented. An NDA or BLA supplement for a new indication typically requires clinical data similar to that in the original application, and the FDA uses the same procedures and actions in reviewing NDA and BLA supplements as it does in reviewing original NDAs and BLAs.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Applications Based on Foreign Clinical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FDA’s acceptance of data from clinical trials not conducted under an IND outside of the United States is subject to certain regulatory conditions, including that the clinical trial must be well designed and well controlled as well as conducted in accordance with GCP. The FDA must also be able to validate the data from any foreign study through an on-site inspection if the agency deems it necessary. A sponsor or applicant may ask the FDA to waive certain of these requirements. An application based solely on foreign clinical data may be approved by the FDA if: (1) the foreign data are applicable to the U.S. population and U.S. medical practice; (2) the studies have been performed by clinical investigators of recognized competence; and (3) the data may be considered valid without the need for an on-site inspection by the FDA or, if the FDA considers such an inspection to be necessary, the FDA is able to validate the data through an on-site inspection or other appropriate means. Failure of an application to meet any of these criteria will result in the application not being approvable by the FDA based on the foreign data alone. The FDA applies this policy in a flexible manner according to the nature of the drug and the data being considered.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Orphan Drug Designation </w:t>
      </w:r>
    </w:p>
    <w:p>
      <w:pPr>
        <w:pStyle w:val="TextBody"/>
        <w:bidi w:val="0"/>
        <w:jc w:val="left"/>
        <w:rPr>
          <w:rFonts w:ascii="Times New Roman" w:hAnsi="Times New Roman"/>
          <w:color w:val="000000"/>
          <w:sz w:val="20"/>
        </w:rPr>
      </w:pPr>
      <w:r>
        <w:rPr>
          <w:rFonts w:ascii="Times New Roman" w:hAnsi="Times New Roman"/>
          <w:color w:val="000000"/>
          <w:sz w:val="20"/>
        </w:rPr>
        <w:t>Under the Orphan Drug Act, the FDA may grant orphan drug designation to drugs or biologics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 Orphan drug designation must be requested before submitting an NDA or BLA. After the FDA grants orphan drug designation, the identity of the drug or biological product and its potential orphan disease use are disclosed publicly by the FDA. Orphan drug designation does not convey any advantage in, or shorten the duration of, the regulatory review and approval process or guarantee eventual approval by the FDA. The first NDA or BLA applicant to receive FDA approval for a particular active moiety to treat a particular disease with FDA orphan drug designation is entitled to a seven-year exclusive marketing period in the United States for that product in the approved indication. For large molecule drugs, sameness is determined based on the principal molecular structural features of a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seven-year marketing exclusivity period, the FDA may not approve any other applications to market the same drug for the same disease, or in the case of a biological product, one containing the same principal molecular structural features for the same indication, except in limited circumstances, such as a showing of clinical superiority to the product with orphan drug exclusivity. A product can be considered clinically superior if it is safer, more effective or makes a major contribution to patient care. Orphan drug exclusivity does not prevent the FDA from approving a different drug or biological product for the same disease or condition, or the same drug or biological product for a different disease or condition. Among the other benefits of orphan drug designation are tax credits for certain research and a waiver of the NDA or BLA user fee.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Breakthrough Therapy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is also required to expedite the development and review of drugs and biological products that are intended to treat a serious or life-threatening disease or condition where preliminary clinical evidence indicates that the drug or biological product may demonstrate substantial improvement over existing therapies on one or more clinically significant endpoints. The sponsor of a new drug or biological product candidate may request that the FDA designate the candidate for a specific indication as a breakthrough therapy concurrent with, or after, the filing of the IND for the drug or biological product candidate. The FDA must determine if the drug or biological product qualifies for breakthrough therapy designation within 60 days of receipt of the sponsor’s request. Breakthrough designation does not grant any advantages in the regulatory approval process or guarantee eventual approval by the FDA.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Fast Track Designation and Priority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the fast track designation, the FDA is required to facilitate the development, and expedite the review, of drugs or biological products that are intended for the treatment of a serious or life-threatening disease or condition and demonstrates the potential to address unmet medical needs for the condition. Fast track designation may be granted when preclinical or clinical data demonstrate the potential to address unmet medical needs for the condition. Filling an unmet medical need is defined as providing a therapy where none exists or providing a therapy which may be potentially better than available therapy. Fast track designation applies to both the product and the specific indication for which it is being studied. Any product submitted to the FDA for marketing, including under a fast track program, may be eligible for other types of FDA programs intended to expedite development and review, such as priority review. A fast track request may be made concurrent with, or after, the filing of the IND for the drug or biological product. The FDA will review the request and make a decision within 60 days. Fast track designation does not grant any advantages in the regulatory approval process or guarantee eventual approval by the FDA.</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a shorter, six-month review. Apart from a shorter review period, priority review does not grant any advantages in the regulatory approval process or guarantee eventual approval by the FDA.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Apart from being able to secure accelerated approval on the basis of a surrogate endpoint, accelerated approval does not grant any advantages in the regulatory review process or guarantee subsequent full approval by the FDA.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Applicants being considered for accelerated approval must submit to the FDA, during the preapproval review period, copies of all promotional materials, including both promotional labeling and advertisements, intended for dissemination or publication within 120 days following marketing approval (launch). Under the same regulatory provisions, after 120 days following marketing approval, unless otherwise informed by the FDA, the applicant must submit promotional materials at least 30 days before the intended time of initial dissemination of the labeling or initial publication of the advertisement (non-launch).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Disclosure of Clinical Trial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Sponsors of certain clinical trials of FDA-regulated products, including drugs and biological products, are required to register and disclose specific clinical trial information on the website </w:t>
      </w:r>
      <w:r>
        <w:rPr>
          <w:rFonts w:ascii="Times New Roman" w:hAnsi="Times New Roman"/>
          <w:sz w:val="20"/>
        </w:rPr>
        <w:t>www.clinicaltrials.gov</w:t>
      </w:r>
      <w:r>
        <w:rPr>
          <w:rFonts w:ascii="Times New Roman" w:hAnsi="Times New Roman"/>
          <w:color w:val="000000"/>
          <w:sz w:val="20"/>
        </w:rPr>
        <w:t>.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Pediatric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Pediatric Research Equity Act (“PREA”), NDAs or BLAs, (or supplements to applications) for a new active ingredient, new indication, new dosage form, new dosing regimen, or new route of administration must contain data to assess the safety and effectiveness of the drug or biological product for the claimed indications in all relevant pediatric subpopulations and to support dosing and administration for each pediatric subpopulation for which the drug or biological product is safe and effective. The FDA may grant deferrals or full or partial waivers, for submission of data. Unless otherwise required by regulation, PREA does not apply to any drug or biological product with orphan drug designation except a product with a new active ingredient that is a molecularly targeted cancer product intended for the treatment of an adult cancer and directed at a molecular target determined by the FDA to be substantially relevant to the growth or progression of a pediatric cancer.</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Best Pharmaceuticals for Children Act (“BPCA”) provides a six-month extension of any non-patent exclusivity for a drug or biological product as well as a six-month extension of patent exclusivity for a drug if certain conditions are met. Conditions for exclusivity include the FDA’s determination that information relating to the use of a new drug or biological product in the pediatric population may produce health benefits in that population, the FDA making a written request for pediatric studies, and the applicant agreeing to perform, and reporting on, the requested studies within the statutory timeframe. The data do not need to show the product to be effective in the pediatric population studied; rather, if the clinical trial is deemed to fairly respond to the FDA’s written request, the additional protection is granted. Applications under the BPCA are treated as priority applications.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Additional Controls for Biologics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help reduce the increased risk of the introduction of adventitious agents, the PHS Act emphasizes the importance of manufacturing controls for products whose attributes cannot be precisely defined. The PHS Act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There is no required timeframe for lot release. However, the FDA generally releases lots within 30 business days once a complete and accurate submission has been received. As with drugs, after approval of a BLA, biologics manufacturers must address any safety issues that arise, are subject to recalls or a halt in manufacturing, and are subject to periodic inspection after approval.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NDA or BLA is approved, a product will be subject to certain post-approval requirements. For instance, the FDA closely regulates the post-approval marketing and promotion of drugs and biologics, including direct-to-consumer advertising, off-label promotion, industry-sponsored scientific and educational activities and promotional activities involving the Internet.</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Adverse event reporting and submission of periodic safety summary reports is required following FDA approval of an NDA or BLA. The FDA also may require post-marketing testing, known as Phase 4 testing, REMS, and surveillance to monitor the effects of an approved product, or the FDA may place conditions on an approval that could restrict the distribution or use of the product.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quality control, drug or biological product manufacture, packaging, and labeling procedures must continue to conform to current good manufacturing practices (“cGMPs”) after approval. Drugs and biologics manufacturers and certain of their subcontractors are required to register their establishments with the FDA and certain state agencies as well as meet specific product tracking and tracing requirements. Registration with the FDA subjects entities to periodic inspections by the FDA, during which the agency inspects a drug or biological product’s manufacturing facilities to assess compliance with cGMPs. Accordingly, manufacturers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The Hatch-Waxman Amendments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Orange Book 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Drugs listed in the Orange Book can, in turn, be cited by potential generic competitors in support of approval of an abbreviated new drug application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NDA approval of a new chemical entity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package insert.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Patent Term Extension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the effective date of an IND application and NDA submission) and all of the review phase (the time between NDA submission and approval) up to a maximum of five years. The time can be reduced for any time the FDA determines that the applicant did not pursue approval with due diligence.</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Biosimilars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Biologics Price Competition and Innovation Act of 2009 (“BPCIA”), creates an abbreviated approval pathway for biological products shown to be highly similar to or interchangeable with an FDA-licensed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number of biosimilar products and several interchangeable products have been approved under the BPCIA. Complexities associated with the larger, and often more complex, structures of biological products, as well as the process by which such products are manufactured, may pose some hurdles to biosimilar product implementation, which is still being evaluated by the FDA.</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reference biologic is granted 12 years of exclusivity from the time of first licensure, or BLA approval, of the reference product, and no application for a biosimilar can be submitted for four years from the date of licensure of the reference product. The first biological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FDA Approval and Regulation of Companion Diagnostics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safe and effective use of a therapeutic product depends on an </w:t>
      </w:r>
      <w:r>
        <w:rPr>
          <w:rFonts w:ascii="Times New Roman" w:hAnsi="Times New Roman"/>
          <w:i/>
          <w:color w:val="000000"/>
          <w:sz w:val="20"/>
        </w:rPr>
        <w:t xml:space="preserve">in vitro </w:t>
      </w:r>
      <w:r>
        <w:rPr>
          <w:rFonts w:ascii="Times New Roman" w:hAnsi="Times New Roman"/>
          <w:color w:val="000000"/>
          <w:sz w:val="20"/>
        </w:rPr>
        <w:t>diagnostic, then the FDA generally will require approval, authorization or clearance of that diagnostic, known as a companion diagnostic, before or at the same time that the FDA approves the therapeutic product. If FDA determines that a companion diagnostic device is essential to the safe and effective use of a new therapeutic product or indication, the FDA generally will not approve the therapeutic product or new therapeutic product indication if the companion diagnostic device is not approved, authorized or cleared for that indication.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Approval, authorization or clearance of the companion diagnostic device will ensure that the device has been adequately evaluated and has adequate performance characteristics in the intended population. The review of an </w:t>
      </w:r>
      <w:r>
        <w:rPr>
          <w:rFonts w:ascii="Times New Roman" w:hAnsi="Times New Roman"/>
          <w:i/>
          <w:color w:val="000000"/>
          <w:sz w:val="20"/>
        </w:rPr>
        <w:t xml:space="preserve">in vitro </w:t>
      </w:r>
      <w:r>
        <w:rPr>
          <w:rFonts w:ascii="Times New Roman" w:hAnsi="Times New Roman"/>
          <w:color w:val="000000"/>
          <w:sz w:val="20"/>
        </w:rPr>
        <w:t xml:space="preserve">companion diagnostic in conjunction with the review of a product will, therefore, likely involve coordination of review by the FDA’s Center for Drug Evaluation and Research or the FDA’s Center for Biologics Evaluation and Research and the FDA’s Office of </w:t>
      </w:r>
      <w:r>
        <w:rPr>
          <w:rFonts w:ascii="Times New Roman" w:hAnsi="Times New Roman"/>
          <w:i/>
          <w:color w:val="000000"/>
          <w:sz w:val="20"/>
        </w:rPr>
        <w:t>In Vitro</w:t>
      </w:r>
      <w:r>
        <w:rPr>
          <w:rFonts w:ascii="Times New Roman" w:hAnsi="Times New Roman"/>
          <w:color w:val="000000"/>
          <w:sz w:val="20"/>
        </w:rPr>
        <w:t xml:space="preserve"> Diagnostics within the Center for Devices and Radiological Health.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Under the FDC Act, </w:t>
      </w:r>
      <w:r>
        <w:rPr>
          <w:rFonts w:ascii="Times New Roman" w:hAnsi="Times New Roman"/>
          <w:i/>
          <w:color w:val="000000"/>
          <w:sz w:val="20"/>
        </w:rPr>
        <w:t xml:space="preserve">in vitro </w:t>
      </w:r>
      <w:r>
        <w:rPr>
          <w:rFonts w:ascii="Times New Roman" w:hAnsi="Times New Roman"/>
          <w:color w:val="000000"/>
          <w:sz w:val="20"/>
        </w:rPr>
        <w:t xml:space="preserve">diagnostics, including companion diagnostics, are regulated as medical devices. In the United States, the FDC Act and its implementing regulations, and other federal and state statutes and regulations govern, among other things, medical device design and development, preclinical and clinical testing, premarket clearance, authorization or approval, registration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listing, manufacturing, labeling, storage, advertising and promotion, sales and distribution, export and import, and post-market surveillance. Unless an exemption applies, diagnostic tests require marketing clearance, authorization or approval from the FDA prior to commercial distribution. The three types of FDA marketing authorization applicable to a medical device are premarket notification, also called 510(k) clearance, de novo authorization, and premarket approval (“PMA”). The vast majority of companion diagnostics require a PMA.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(“QSR”), which imposes elaborate testing, control, documentation and other quality assurance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After a device is placed on the market, it remains subject to significant regulatory requirements. Medical devices may be marketed only for the uses and indications for which they are cleared, authorized or approved. Device manufacturers must also register their establishments and list their devices with the FDA. A medical device manufacturer’s manufacturing processes and those of its contract manufacturers are required to comply with the applicable portions of the QSR, which cover the methods and documentation of the design, testing, production, processes, controls, quality assurance, labeling, packaging and shipping of medical devices. Domestic and foreign facility records and manufacturing processes are subject to periodic inspections by the FDA.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U.S. Healthcare Laws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Education and Reconciliation Act of 2010 (collectively, the “ACA”) amended the intent element of the federal Anti-Kickback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federal statutes pertaining to healthcare fraud and abuse include the Civil Monetary Penalties Law statute, which prohibits, among other things, the offer or payment of remuneration to a Medicaid or Medicare beneficiary that the offeror or payor knows or should know is likely to influence the beneficiary to order or receive a reimbursable item or service from a particular supplier, and the additional federal criminal statutes created by the Health Insurance Portability and Accountability Act of 1996 (“HIPAA”), which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HIPAA, as amended by the Health Information Technology for Economic and Clinical Health Act of 2009 (“HITECH”), and their respective implementing regulations, including the Final Omnibus Rule published on January 25, 2013,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their covered subcontractors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pursuant to the ACA, the Centers for Medicare &amp; Medicaid Services (“CMS”) issued a final rule that requires certain manufacturers of prescription drugs to collect and annually report information on certain payments or transfers of value to physicians (defined to include doctors, dentists, optometrists, podiatrists and chiropractors), physician assistants, certain types of advance practice nurses and teaching hospitals, as well as ownership and investment interests held by physicians and their immediate family members. The reported data are made available in searchable form on a public website on an annual basis. Failure to submit required information may result in civil monetary penalties.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Analogous state and foreign anti-kickback and false claims laws that may apply to sales or marketing arrangements and claims involving healthcare items or services reimbursed by non-governmental third-party payors, including private insurers, or that apply regardless of payor. 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Further, certain states require the posting of information relating to clinical trials and their outcomes.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Additionally, we may also be subject to state and foreign laws governing the privacy and security of health information in some circumstances, such as the California Consumer Privacy Act or Europe’s General Data Protection Regulation, many of which differ from each other in significant ways and often are not preempted by HIPAA, thus complicating compliance efforts.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On September 9, 2021, the Biden administration published a wide-ranging list of policy proposals, most of which would need to be carried out by Congress, to reduce drug prices and drug payment. The U.S. Department of Health and Human Services (“HHS”) plan includes, among other reform measures, proposals to lower prescription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prices, including by allowing Medicare to negotiate prices and disincentivizing price increases, and to support market changes that strengthen supply chains, promote biosimilars and generic drugs, and increase price transparency. These initiatives culminated in the enactment of the IRA in August 2022, which allows HHS to negotiate the selling price of certain drugs and biologics that CMS reimburses under Medicare Part B and Part D, although this will only apply to high-expenditure single-source drugs that have been approved for at least seven years (11 years for biologics). The negotiated prices, which become effective in 2026, are capped at a statutory ceiling price that began in October 2023, and the IRA penalizes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have been taking effect progressively since 2023, although they may be subject to legal challenges.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14 full-time employees. Due to the highly technical requirements of our industry, our workforce comprises many high caliber scientists and experts with experience in the pharmaceutical and biotechnology industries. Most of our workforce is highly educated, with many employees holding advanced degrees. We have also engaged consultants to support our development and financial operations. None of our employees are represented by a labor union or covered under a collective bargaining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human capital resources objectives include identifying, recruiting, retaining, incentivizing and integrating our existing and additional employees into our collaborative culture. Our compensation program is designed to retain, motivate and attract highly qualified executives and talented employees and consultants. We are committed to fostering a culture that supports diversity and an environment of mutual respect, equity and collaboration that helps drive our business and our mission.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are located in Foster City, California, where we lease an office with approximately 5,100 square feet pursuant to a lease agreement that is in effect until February 28, 2029. In China, we previously leased an office facility in Hangzhou; however, as part of our cost-reduction and operational restructuring initiatives in April 2025, we terminated this lease and transitioned to a flexible co-working space arrangement. </w:t>
      </w:r>
    </w:p>
    <w:p>
      <w:pPr>
        <w:pStyle w:val="TextBody"/>
        <w:bidi w:val="0"/>
        <w:jc w:val="left"/>
        <w:rPr>
          <w:rFonts w:ascii="Times New Roman" w:hAnsi="Times New Roman"/>
          <w:color w:val="000000"/>
          <w:sz w:val="20"/>
        </w:rPr>
      </w:pPr>
      <w:r>
        <w:rPr>
          <w:rFonts w:ascii="Times New Roman" w:hAnsi="Times New Roman"/>
          <w:color w:val="000000"/>
          <w:sz w:val="20"/>
        </w:rPr>
        <w:t>We believe that our offices and facilities are adequate for our current needs and that suitable additional or substitute space will be available when needed.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arising in the ordinary course of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a discussion of our material pending legal proceedings, including our current litigation with Medpace, Inc., please see ‘Item 8. </w:t>
      </w:r>
      <w:r>
        <w:rPr>
          <w:rFonts w:ascii="Times New Roman" w:hAnsi="Times New Roman"/>
          <w:i/>
          <w:color w:val="000000"/>
          <w:sz w:val="20"/>
        </w:rPr>
        <w:t>Financial Information—A. Consolidated Statements and Other Financial Information—Legal Proceedings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Organizational Structure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name of our company is Apollomics Inc. and we are an exempted company organized under the laws of the Cayman Islands. We conduct our operations through wholly-owned subsidiaries, including our U.S. subsidiary in California, which is also named Apollomics Inc., Crownmab, a subsidiary of Apollomics in the PRC, and Apollomics (Australia) Pty Ltd, a wholly-owned subsidiary in Australia. Investments in our securities are not purchases of equity securities of these operating subsidiaries in the United States or the PRC but instead are purchases of equity securities of a Cayman Islands holding company with no material operations of its own. Unlike some other companies with operating subsidiaries in China, our corporate structure does not contain any variable interest entities, or VIEs, and we have no intention of establishing or utilizing any VIEs in China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Plant and Equipment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“Facilities” above. We do not own any significant physical assets.</w:t>
      </w:r>
    </w:p>
    <w:p>
      <w:pPr>
        <w:pStyle w:val="TextBody"/>
        <w:bidi w:val="0"/>
        <w:spacing w:before="360" w:after="283"/>
        <w:jc w:val="left"/>
        <w:rPr>
          <w:rFonts w:ascii="Times New Roman" w:hAnsi="Times New Roman"/>
          <w:b/>
          <w:color w:val="000000"/>
          <w:sz w:val="20"/>
        </w:rPr>
      </w:pPr>
      <w:bookmarkStart w:id="12" w:name="itm_4a"/>
      <w:bookmarkEnd w:id="12"/>
      <w:r>
        <w:rPr>
          <w:rFonts w:ascii="Times New Roman" w:hAnsi="Times New Roman"/>
          <w:b/>
          <w:color w:val="000000"/>
          <w:sz w:val="20"/>
        </w:rPr>
        <w:t>Item 4A.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3" w:name="item_5"/>
      <w:bookmarkEnd w:id="13"/>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Operating and Financial Review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historical audited annual consolidated financial statements and the related notes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section entitled Item 3.D. “Risk Factors” of this Annual Report, our actual results could differ materially from the results described in or implied by the forward-looking statements contained in the following discussion and analysis.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clinical-stage biotechnology company focused on discovering and developing oncology therapies to address unmet medical needs, especially for difficult-to-treat and treatment-resistant cancers. Since our founding in 2015, we have built a pipeline focused on oncology, of which three product candidates remain in active clinical stage development. Our leading product candidate, vebreltinib, has shown initial promising clinical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We were originally formed as CB Therapeutics Inc. as a result of a spin-off of Crown Bioscience International, which was completed on December 31, 2015. As a result, we became the owner of certain patent and intellectual property rights relating to some of our product candidates. For more information relating to the series of transactions resulting in our acquisition of these patent rights, please see “—Intellectual Property Assignment”,</w:t>
      </w:r>
      <w:r>
        <w:rPr>
          <w:rFonts w:ascii="Times New Roman" w:hAnsi="Times New Roman"/>
          <w:color w:val="000000"/>
          <w:sz w:val="20"/>
        </w:rPr>
        <w:t xml:space="preserve"> above under Item 4.B.</w:t>
      </w:r>
    </w:p>
    <w:p>
      <w:pPr>
        <w:pStyle w:val="TextBody"/>
        <w:bidi w:val="0"/>
        <w:jc w:val="left"/>
        <w:rPr>
          <w:rFonts w:ascii="Times New Roman" w:hAnsi="Times New Roman"/>
          <w:color w:val="000000"/>
          <w:sz w:val="20"/>
        </w:rPr>
      </w:pPr>
      <w:r>
        <w:rPr>
          <w:rFonts w:ascii="Times New Roman" w:hAnsi="Times New Roman"/>
          <w:color w:val="000000"/>
          <w:sz w:val="20"/>
        </w:rPr>
        <w:t xml:space="preserve">Our primary business is conducted by our global drug development team at our U.S. headquarters located in the San Francisco Bay Area. We also operate in China with our development team located in Hangzhou. We have wholly-owned subsidiaries in Australia (Apollomics (Australia) Pty Ltd, formed in November 2016), Hong Kong (Apollomics (Hong Kong) Limited, formed in June 2019) and China (Zhejiang Crownmab (“Zhejiang Crownmab”) Biotech Co. Ltd. and Zhejiang Crown Bochuang Biopharma Co. Ltd., formed in May 2018 and May 2020, respectively). </w:t>
      </w:r>
    </w:p>
    <w:p>
      <w:pPr>
        <w:pStyle w:val="TextBody"/>
        <w:bidi w:val="0"/>
        <w:jc w:val="left"/>
        <w:rPr>
          <w:rFonts w:ascii="Times New Roman" w:hAnsi="Times New Roman"/>
          <w:color w:val="000000"/>
          <w:sz w:val="20"/>
        </w:rPr>
      </w:pPr>
      <w:r>
        <w:rPr>
          <w:rFonts w:ascii="Times New Roman" w:hAnsi="Times New Roman"/>
          <w:color w:val="000000"/>
          <w:sz w:val="20"/>
        </w:rPr>
        <w:t>Our strategic focus is the development of novel therapies targeting difficult to treat cancers. We use both targeted, immuno-oncology, and other innovative approaches to address a range of cancer indications, such as lung cancer, brain cancer, and other solid tumors. Our pipeline includes a variety of cancer treatment programs that utilize tumor inhibitors, cell adhesion inhibitors, immune checkpoint inhibitors, a cancer vaccine, monotherapies, combination therapies or a multi-functional protein with the goals to improve response rates and reduce chemo-resistance and toxicity compared to the current treatment standards. We have adopted a biomarker-driven diagnostic approach for patient screening to increase precision in identifying patients that can potentially benefit from target therapy.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29, 2023, Apollomics consummated the Business Combination with Maxpro pursuant to the Business Combination Agreement. In connection with the closing of the Business Combination, Apollomics became a publicly traded company on Nasdaq.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2025 PIPE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 2025, the Company entered into subscription agreements (the “PIPE Subscription Agreements”) for a private placement (the “PIPE”) with certain accredited investors (each, a “Purchaser” and collectively, the “Purchasers”). The closing of the PIPE occurred on September 3, 2025 (the “Closing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PIPE Subscription Agreements, the Purchasers purchased an aggregate of 1.04 million Class A ordinary shares, par value $0.01 per share, of the Company (the “PIPE Shares”), at a price per share of $3.9317 (the closing price on August 29, 2025), representing aggregate gross proceeds to the company of $4.1 million, prior to the payment of fees and expenses. Following the issuance of the PIPE Shares, Hung-Wen (Howard) Chen, who was appointed Chairman of the Company’s board of directors (“Board”) as described below, and his affiliates beneficially own approximately 41% of the outstanding Class A ordinary shares and Maxpro Investment Co., Ltd. and its affiliates beneficially own approximately 4.9% of the outstanding Class A ordinary shares.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Factors Affecting Apollomics’ Operating Results</w:t>
      </w:r>
    </w:p>
    <w:p>
      <w:pPr>
        <w:pStyle w:val="TextBody"/>
        <w:bidi w:val="0"/>
        <w:spacing w:before="120" w:after="283"/>
        <w:jc w:val="left"/>
        <w:rPr>
          <w:rFonts w:ascii="Times New Roman" w:hAnsi="Times New Roman"/>
          <w:sz w:val="20"/>
        </w:rPr>
      </w:pPr>
      <w:r>
        <w:rPr>
          <w:rFonts w:ascii="Times New Roman" w:hAnsi="Times New Roman"/>
          <w:color w:val="000000"/>
          <w:sz w:val="20"/>
        </w:rPr>
        <w:t>We believe that our future performance and success depends to a substantial extent on our product candidate pipeline and the development of our product candidates, each of which is in turn subject to significant risks and challenges, including those discussed in Item 4 and in the section of this Annual Report entitled Item 3.D. “</w:t>
      </w:r>
      <w:r>
        <w:rPr>
          <w:rFonts w:ascii="Times New Roman" w:hAnsi="Times New Roman"/>
          <w:i/>
          <w:color w:val="000000"/>
          <w:sz w:val="20"/>
        </w:rPr>
        <w:t>Risk Factors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no products approved for commercial sales and have not generated any revenue from product sales. If we obtain regulatory approval for any of our product candidates, we expect to incur significant expenses related to developing our internal commercialization capability to support product sales, marketing, and distribution.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For the years ended December 31, 2023, 2024 and 2025, our net loss was $172.6 million, $53.9 million and $10.9 million, respectively, and the fair value change of convertible preferred shares was $76.4 million, nil and nil, respectively, and an excess fair value charge of shares over fair value net assets acquired in the business combination agreement of $45.5 million, nil, and nil, respectively, leaving net loss from operations as $50.7 million, $53.9 million and $10.9 million, respectively, which resulted substantially from R&amp;D expenses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2024 and 2025, we had an accumulated deficit of $700.8 million and $711.8 million, respectively. We expect to continue to generate operating losses and negative operating cash flows for the foreseeable future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research and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authorization for any of our product candidates that successfully complete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validate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license other product candidates, technologies, or biological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milestone, royalty, or other payments under any current or future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attract and retain new and existing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additional infrastructure to support our operations as a public company and incur increased legal, accounting, investor relations and other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delays or encounter issues with any of the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financial performance will fluctuate quarterly and yearly due to the development status of our drug candidates, our efforts to obtain regulatory approval and commercialize our drug candidates.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Based on our evaluation of conditions and events as of December 31, 2025, management has determined that substantial doubt exists about the Company’s ability to continue as a going concern. As of that date, we had cash and cash equivalents of $3.3 million, a history of recurring losses and negative shareholders’ equity, and limited liquidity relative to our operating requirements. Although we implemented cost-reduction initiatives beginning in early 2024 and continuing through 2025, and expect liquidity support from financing activities and strategic partnerships, even after factoring in the expected receipt of the $2.3 million outstanding receivable balance of the upfront payment from LaunXP in Q2 2026, our existing cash resources are not sufficient to meet our obligations as they come due within the assessment period through April 30, 2027. Subsequent to year-end, our liquidity was further supported by a $2.0 million unsecured bridge loan provided by our Chairman and CEO, Mr. Hung-Wen (Howard) Chen, on March 30, 2026. Management’s plans to address this shortfall include raising additional capital through equity or debt financing and generating cash inflows from strategic partnerships; however, these plans are not contractually committed, are subject to external factors and there can be no assurance that such capital will be available on acceptable terms, or at all. These conditions indicate the existence of material uncertainties that may cast substantial doubt on the Company’s ability to continue as a going concern.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Notwithstanding these material uncertainties, the accompanying financial statements have been prepared on a going concern basis of accounting and do not include any adjustments to the carrying amounts and classification of assets and liabilities that may be necessary in the event that the Company is no longer able to continue its operations as a going concern.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primarily includes income from a licensee whose negotiation period was no longer valid and income for a liability that was extinguished in the current year. Other income also includes interest income primarily derived from our cash and cash equivalents.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Foreign Exchange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losses are a result of foreign exchange rate fluctuation.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Fair Value Change of Financial Assets at Fair Value Through Profit or Loss (“FVTPL”)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change of financial assets at FVTPL consisted of non-cash impacts on our profit or loss as a result of the fair value change of our investment in a money market fund in the United States which solely holds investments in U.S. treasury bonds. For the years ended December 31, 2024 and 2025, the fair value change of financial assets at fair value through profit or loss was a $0.2 million increase and a nil increase or decrease,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R&amp;D costs primarily consist of salaries, benefits and share-based compensation for our R&amp;D employees, and expenses for consultants and external contract research and contract manufacturing organizations. From inception through December 31, 2025, we have incurred $193.0 million in R&amp;D expenses. We may increase our R&amp;D expenses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manage certain activities such as clinical trial operations, manufacture of therapeutic candidates, and preclinical animal toxicology studies through third-party CROs. The only costs we track by each therapeutic candidate are external costs such as services provided to us by CROs, manufacturing of preclinical and clinical drug products, and other outsourced R&amp;D expenses. We do not assign or allocate internal costs such as salaries and benefits, facilities costs, lab supplies and the costs of preclinical research and studies to individual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(R&amp;D) activities are central to our business. Product candidates in later stages of clinical development will generally have higher development costs than those in earlier stages of clinical development, primarily due to the increased size and duration of later-stage clinical trials. There are numerous factors associated with the successful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 An internally generated intangible asset arising from development activities (or from the development phase of an internally generated project) is recognized if, and only if, all of the following have been demonstrated: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technical feasibility of completing the intangible asset so that it will be available for use or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intention to complete the intangible asset and use or sell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use or sell the intangible asset;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 the intangible asset will generate probable future economic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technical, financial and other resources to complete the development and to use or sell the intangible asset;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measure reliably the expenditure attributable to the intangible asset during its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initially recognized for an internally generated intangible asset is the sum of the expenditure incurred from the date when the intangible asset first meets the recognition criteria listed above. Where no internally generated intangible asset can be recognized, development expenditure is recognized in profit or loss in the period in which it is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initial recognition, internally-generated intangible assets are reported at cost less accumulated amortization and accumulated impairment losses (if any), on the same basis as intangible assets that are acquired separately.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intangible asset is derecognized on disposal, or when no future economic benefits are expected from use or disposal. Gains and losses arising from derecognition of an intangible asset, measured as the difference between the net disposal proceeds and the carrying amount of the asset, are recognized in profit or loss when the asset is derecognized.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costs which do not meet these criteria are expensed when incurred. Costs for certain development activities are recognized based on an evaluation of the progress to completion of specific tasks using information and data provided to us by our vendors and our clinical sites. We cannot determine with certainty the duration and completion costs of the current or future clinical trials of our therapeutic candidates or if, when, or to what extent we will generate revenues from the commercialization and sale of any of our therapeutic candidates for which we or any partner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duration, costs and timing of clinical trials and development of therapeutic candidates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expense of our ongoing, as well as any additional, clinical trials and other R&amp;D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changes in government regulation;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 therapeutic candidate could mean a significant change in the costs and timing associated with the development of that therapeutic candidate. For example, if the FDA or another regulatory authority were to require us to conduct clinical trials beyond those that we currently anticipate will be required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completion of the clinical development of therapeutic candidates, or if we experience significant delays in the enrollment in any clinical trials, we could be required to expend significant additional financial resources and time on the completion of clinical development.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expenses consist primarily of salaries, benefits, and other related costs, including share-based payment expense, for personnel in our executive, legal, human resources, finance, and administrative functions. Administrative expenses also include professional fees for legal, patent, consulting, accounting, tax and audit services, travel expenses and facility-related expenses, which include direct depreciation costs and allocated expenses for rent and maintenance of facilities, technology, and other operating costs. We expect that our administrative expenses will decrease substantially in the future in line with our strategic shift, as we decrease our administrative personnel, including the departure of two of our executive officers, and overall reduction of external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loss of an intangible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loss of an intangible asset consists of losses as a result of our review of carrying amounts of intangible assets with finite useful lives carried at each reporting period by management. In 2025 we incurred a $1.7 million impairment loss for patent rights because of the failure of the breaches to terms of the collaboration agreement and we subsequently terminated the license. In 2024 we incurred $13.0 million impairment loss for patent rights because of the failure of the licensor’s vendor to provide drug supplies and we subsequently terminated the license. We did not incur any impairment losses of intangible assets for the years ended December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other expenses amounted to $46.0 million, $0.1 million and nil for the years ended December 31, 2023, 2024 and 2025, respectively. In 2023 other expenses primarily included professional fees incurred by us in relation to the business combination transaction. In 2023 we also incurred an excess fair value charge of shares over fair value net assets acquired in the business combination agreement of $45.5 million. In 2024 and 2025, other expenses related to professional fees and filing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significant additional expenses related to compliance with the rules and regulations of the SEC, Sarbanes Oxley Act, and the listing standards of Nasdaq, additional corporate, director and officer insurance expenses, increased legal, audit and consulting fees and greater investor relations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3 to our consolidated financial statements included elsewhere in this Annual Report for recently adopted accounting pronouncements and recently issued accounting pronouncements not yet adopted as of the date of this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presented below should be reviewed in conjunction with the consolidated financial statements and notes included elsewhere in this Annual Report. We have made rounding adjustments to reach some of the figures included in this Annual Report. Consequently, numerical figures shown as totals in some tables or discussed below may not be arithmetic aggregations of the figures that precede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Apollomics’ consolidated statements of loss and other comprehensive loss data for the years ended December 31, 2023, 2024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78"/>
        <w:gridCol w:w="146"/>
        <w:gridCol w:w="211"/>
        <w:gridCol w:w="736"/>
        <w:gridCol w:w="166"/>
        <w:gridCol w:w="146"/>
        <w:gridCol w:w="211"/>
        <w:gridCol w:w="736"/>
        <w:gridCol w:w="166"/>
        <w:gridCol w:w="146"/>
        <w:gridCol w:w="211"/>
        <w:gridCol w:w="841"/>
        <w:gridCol w:w="211"/>
      </w:tblGrid>
      <w:tr>
        <w:trPr/>
        <w:tc>
          <w:tcPr>
            <w:tcW w:w="6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gains and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financial assets at fair value through profit and loss (“FVTPL”)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financial liabilities at FVTPL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convertible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and total comprehensive expenses for the year, attributable</w:t>
              <w:br/>
              <w:t>   to owners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Year Ended December 31, 2024 Compared to Year Ended December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other income for the years ended December 31, 2024 and 2025:</w:t>
      </w:r>
    </w:p>
    <w:p>
      <w:pPr>
        <w:pStyle w:val="TextBody"/>
        <w:bidi w:val="0"/>
        <w:jc w:val="left"/>
        <w:rPr/>
      </w:pPr>
      <w:r>
        <w:rPr/>
        <w:t> </w:t>
      </w:r>
    </w:p>
    <w:tbl>
      <w:tblPr>
        <w:tblW w:w="7034" w:type="dxa"/>
        <w:jc w:val="left"/>
        <w:tblInd w:w="0" w:type="dxa"/>
        <w:tblLayout w:type="fixed"/>
        <w:tblCellMar>
          <w:top w:w="28" w:type="dxa"/>
          <w:left w:w="28" w:type="dxa"/>
          <w:bottom w:w="28" w:type="dxa"/>
          <w:right w:w="28" w:type="dxa"/>
        </w:tblCellMar>
      </w:tblPr>
      <w:tblGrid>
        <w:gridCol w:w="2521"/>
        <w:gridCol w:w="146"/>
        <w:gridCol w:w="250"/>
        <w:gridCol w:w="499"/>
        <w:gridCol w:w="173"/>
        <w:gridCol w:w="173"/>
        <w:gridCol w:w="250"/>
        <w:gridCol w:w="678"/>
        <w:gridCol w:w="146"/>
        <w:gridCol w:w="146"/>
        <w:gridCol w:w="211"/>
        <w:gridCol w:w="481"/>
        <w:gridCol w:w="166"/>
        <w:gridCol w:w="146"/>
        <w:gridCol w:w="146"/>
        <w:gridCol w:w="526"/>
        <w:gridCol w:w="37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income was $1.5 million for the year ended December 31, 2024, compared to $0.5 million for the year ended December 31, 2025. The decrease of $(1.0) million, or -66.8%, was mainly driven by a $0.5 million write off for a China license liability, $0.3 million in interest income due to lower cash and cash equivalent balances, and $0.2 million in other individually immaterial fluctuations,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 of our other gains and losses for the years ended December 31, 2024 and 2025:</w:t>
      </w:r>
    </w:p>
    <w:p>
      <w:pPr>
        <w:pStyle w:val="TextBody"/>
        <w:bidi w:val="0"/>
        <w:jc w:val="left"/>
        <w:rPr/>
      </w:pPr>
      <w:r>
        <w:rPr/>
        <w:t> </w:t>
      </w:r>
    </w:p>
    <w:tbl>
      <w:tblPr>
        <w:tblW w:w="7319" w:type="dxa"/>
        <w:jc w:val="left"/>
        <w:tblInd w:w="0" w:type="dxa"/>
        <w:tblLayout w:type="fixed"/>
        <w:tblCellMar>
          <w:top w:w="28" w:type="dxa"/>
          <w:left w:w="28" w:type="dxa"/>
          <w:bottom w:w="28" w:type="dxa"/>
          <w:right w:w="28" w:type="dxa"/>
        </w:tblCellMar>
      </w:tblPr>
      <w:tblGrid>
        <w:gridCol w:w="2701"/>
        <w:gridCol w:w="146"/>
        <w:gridCol w:w="261"/>
        <w:gridCol w:w="595"/>
        <w:gridCol w:w="205"/>
        <w:gridCol w:w="180"/>
        <w:gridCol w:w="261"/>
        <w:gridCol w:w="521"/>
        <w:gridCol w:w="146"/>
        <w:gridCol w:w="146"/>
        <w:gridCol w:w="211"/>
        <w:gridCol w:w="481"/>
        <w:gridCol w:w="166"/>
        <w:gridCol w:w="146"/>
        <w:gridCol w:w="146"/>
        <w:gridCol w:w="631"/>
        <w:gridCol w:w="376"/>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(losses)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gains and losses reflects a gain of $0.1 million for the year ended December 31, 2024, compared to a loss of $(0.1) million for the year ended December 31, 2025. The decrease of $(0.3) million, or 197.2%, was primarily from the exchange gain of $0.2 million in Australian dollars and $0.1 million in other individually immaterial currencies losses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R&amp;D expenses for the years ended December 31, 2024 and 2025:</w:t>
      </w:r>
    </w:p>
    <w:p>
      <w:pPr>
        <w:pStyle w:val="TextBody"/>
        <w:bidi w:val="0"/>
        <w:jc w:val="left"/>
        <w:rPr/>
      </w:pPr>
      <w:r>
        <w:rPr/>
        <w:t> </w:t>
      </w:r>
    </w:p>
    <w:tbl>
      <w:tblPr>
        <w:tblW w:w="9540" w:type="dxa"/>
        <w:jc w:val="left"/>
        <w:tblInd w:w="0" w:type="dxa"/>
        <w:tblLayout w:type="fixed"/>
        <w:tblCellMar>
          <w:top w:w="28" w:type="dxa"/>
          <w:left w:w="28" w:type="dxa"/>
          <w:bottom w:w="28" w:type="dxa"/>
          <w:right w:w="28" w:type="dxa"/>
        </w:tblCellMar>
      </w:tblPr>
      <w:tblGrid>
        <w:gridCol w:w="4696"/>
        <w:gridCol w:w="146"/>
        <w:gridCol w:w="212"/>
        <w:gridCol w:w="575"/>
        <w:gridCol w:w="167"/>
        <w:gridCol w:w="147"/>
        <w:gridCol w:w="212"/>
        <w:gridCol w:w="681"/>
        <w:gridCol w:w="146"/>
        <w:gridCol w:w="146"/>
        <w:gridCol w:w="211"/>
        <w:gridCol w:w="736"/>
        <w:gridCol w:w="166"/>
        <w:gridCol w:w="146"/>
        <w:gridCol w:w="146"/>
        <w:gridCol w:w="631"/>
        <w:gridCol w:w="37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APL-101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APL-102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APL-106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APL-122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APL-501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&amp;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Third-Party Service Fees and Contractor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Employee Other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Employee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year ended December 31, 2024 were $24.6 million, compared to $5.5 million for the year ended December 31, 2025. The decrease of $(19.0) million, or 77.5%, is primarily due to a $10,9 million decrease in active clinical program expenditure due to a more narrow development focus, $(4.7) million decrease in employee other compensation and benefits due to R&amp;D employee reductions in the second half of 2024 to reduce expenses, and a $(3.4) million decrease in employee share-based compensation mainly from employee departures in 2024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manage our R&amp;D third-party service fees and our contractor expenses by product, which is shown in the table above. We do not allocate our R&amp;D employee compensation and benefits, nor our R&amp;D employee share-based compensation into our product lines.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administrative expenses for the years ended December 31, 2024 and 2025:</w:t>
      </w:r>
    </w:p>
    <w:p>
      <w:pPr>
        <w:pStyle w:val="TextBody"/>
        <w:bidi w:val="0"/>
        <w:jc w:val="left"/>
        <w:rPr/>
      </w:pPr>
      <w:r>
        <w:rPr/>
        <w:t> </w:t>
      </w:r>
    </w:p>
    <w:tbl>
      <w:tblPr>
        <w:tblW w:w="9827" w:type="dxa"/>
        <w:jc w:val="left"/>
        <w:tblInd w:w="0" w:type="dxa"/>
        <w:tblLayout w:type="fixed"/>
        <w:tblCellMar>
          <w:top w:w="28" w:type="dxa"/>
          <w:left w:w="28" w:type="dxa"/>
          <w:bottom w:w="28" w:type="dxa"/>
          <w:right w:w="28" w:type="dxa"/>
        </w:tblCellMar>
      </w:tblPr>
      <w:tblGrid>
        <w:gridCol w:w="4996"/>
        <w:gridCol w:w="146"/>
        <w:gridCol w:w="211"/>
        <w:gridCol w:w="676"/>
        <w:gridCol w:w="166"/>
        <w:gridCol w:w="146"/>
        <w:gridCol w:w="211"/>
        <w:gridCol w:w="676"/>
        <w:gridCol w:w="146"/>
        <w:gridCol w:w="146"/>
        <w:gridCol w:w="211"/>
        <w:gridCol w:w="631"/>
        <w:gridCol w:w="166"/>
        <w:gridCol w:w="146"/>
        <w:gridCol w:w="146"/>
        <w:gridCol w:w="631"/>
        <w:gridCol w:w="376"/>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Employee Other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Employee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Third-Party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Administrative expenses were $17.8 million for the year ended December 31, 2024, compared to $12.4 million for the year ended December 31, 2025. The decrease of $(5.3) million, or 30.0%, was primarily due to a $(8.5) million decrease in employee share-based compensation mainly from the employee departures in 2024 and 2025, $(2.4) million decrease in employee other compensation and benefits due to the same aforementioned employee departures and $(0.6) million in other administrative expenses. These decreases were partially offset by $5.3 million increase due to an increase in third party service fees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Year Ended December 31, 2023 Compared to Year Ended December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other income for the years ended December 31, 2023 and 2024:</w:t>
      </w:r>
    </w:p>
    <w:p>
      <w:pPr>
        <w:pStyle w:val="TextBody"/>
        <w:bidi w:val="0"/>
        <w:jc w:val="left"/>
        <w:rPr/>
      </w:pPr>
      <w:r>
        <w:rPr/>
        <w:t> </w:t>
      </w:r>
    </w:p>
    <w:tbl>
      <w:tblPr>
        <w:tblW w:w="4055" w:type="dxa"/>
        <w:jc w:val="left"/>
        <w:tblInd w:w="0" w:type="dxa"/>
        <w:tblLayout w:type="fixed"/>
        <w:tblCellMar>
          <w:top w:w="28" w:type="dxa"/>
          <w:left w:w="28" w:type="dxa"/>
          <w:bottom w:w="28" w:type="dxa"/>
          <w:right w:w="28" w:type="dxa"/>
        </w:tblCellMar>
      </w:tblPr>
      <w:tblGrid>
        <w:gridCol w:w="1666"/>
        <w:gridCol w:w="146"/>
        <w:gridCol w:w="233"/>
        <w:gridCol w:w="632"/>
        <w:gridCol w:w="161"/>
        <w:gridCol w:w="161"/>
        <w:gridCol w:w="233"/>
        <w:gridCol w:w="632"/>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was $1.5 million for the year ended December 31, 2024, compared to $1.2 million for the year ended December 31, 2023. The increase of $0.3 million, or 22.4%, was mainly driven by a $0.5 million write off for a China license liability and $0.2 million in other individually immaterial fluctuations, which was partially offset by a decrease of $(0.2) million in subsidies received from the Australian government specifically for supporting the research and development activities carried out in Australia and a decrease of $(0.3) million in interest income due to lower cash and cash equivalent balances.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 of our other gains and losses for the years ended December 31, 2023 and 2024:</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1636"/>
        <w:gridCol w:w="146"/>
        <w:gridCol w:w="250"/>
        <w:gridCol w:w="499"/>
        <w:gridCol w:w="173"/>
        <w:gridCol w:w="173"/>
        <w:gridCol w:w="250"/>
        <w:gridCol w:w="678"/>
        <w:gridCol w:w="146"/>
        <w:gridCol w:w="146"/>
        <w:gridCol w:w="211"/>
        <w:gridCol w:w="631"/>
        <w:gridCol w:w="166"/>
        <w:gridCol w:w="146"/>
        <w:gridCol w:w="146"/>
        <w:gridCol w:w="526"/>
        <w:gridCol w:w="3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gains and losses reflects a gain of $1.2 million for the year ended December 31, 2023, compared to a gain of $0.1 million for the year ended December 31, 2024. The decrease of ($1.0) million, or 87.8%, was primarily from the exchange gain of $1.6 million of RMB denominated time deposits with original maturity over three months held by one of our PRC subsidiaries, and the exchange gain of $0.5 million in Australian dollars in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Fair Value Change of Convertible 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change of convertible preferred shares for the year ended December 31, 2023 was $(76.4) million, compared to $0 for the year ended December 31, 2024. The decrease of $76.4 million, or 100%, is due to no preferred shares outstanding as of March 29, 2023 as all were converted to common shares.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R&amp;D expenses for the years ended December 31, 2023 and 2024:</w:t>
      </w:r>
    </w:p>
    <w:p>
      <w:pPr>
        <w:pStyle w:val="TextBody"/>
        <w:bidi w:val="0"/>
        <w:jc w:val="left"/>
        <w:rPr/>
      </w:pPr>
      <w:r>
        <w:rPr/>
        <w:t> </w:t>
      </w:r>
    </w:p>
    <w:tbl>
      <w:tblPr>
        <w:tblW w:w="9447" w:type="dxa"/>
        <w:jc w:val="left"/>
        <w:tblInd w:w="0" w:type="dxa"/>
        <w:tblLayout w:type="fixed"/>
        <w:tblCellMar>
          <w:top w:w="28" w:type="dxa"/>
          <w:left w:w="28" w:type="dxa"/>
          <w:bottom w:w="28" w:type="dxa"/>
          <w:right w:w="28" w:type="dxa"/>
        </w:tblCellMar>
      </w:tblPr>
      <w:tblGrid>
        <w:gridCol w:w="4696"/>
        <w:gridCol w:w="146"/>
        <w:gridCol w:w="211"/>
        <w:gridCol w:w="676"/>
        <w:gridCol w:w="146"/>
        <w:gridCol w:w="146"/>
        <w:gridCol w:w="211"/>
        <w:gridCol w:w="676"/>
        <w:gridCol w:w="146"/>
        <w:gridCol w:w="146"/>
        <w:gridCol w:w="211"/>
        <w:gridCol w:w="631"/>
        <w:gridCol w:w="166"/>
        <w:gridCol w:w="146"/>
        <w:gridCol w:w="146"/>
        <w:gridCol w:w="571"/>
        <w:gridCol w:w="37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APL-101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APL-102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&gt;100%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APL-106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APL-122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APL-501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Third-Party Service Fees and Contractor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Employee Other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Employee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for the year ended December 31, 2023 were $34.2 million, compared to $24.6 million for the year ended December 31, 2024. The decrease of $(9.6) million, or 28.2%, is primarily due to a $(5.9) million decrease in APL-101 expenditure due to a more narrow development focus, $(2.3) million decrease in employee other compensation and benefits due to R&amp;D employee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reductions in the second half of 2024 to reduce expenses, and a $(1.6) million decrease in employee share-based compensation mainly from the aforementioned employee reductions in the second half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manage our R&amp;D third-party service fees and our contractor expenses by product, which is shown in the table above. We do not allocate our R&amp;D employee compensation and benefits, nor our R&amp;D employee share-based compensation into our product lines.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administrative expenses for the years ended December 31, 2023 and 2024:</w:t>
      </w:r>
    </w:p>
    <w:p>
      <w:pPr>
        <w:pStyle w:val="TextBody"/>
        <w:bidi w:val="0"/>
        <w:jc w:val="left"/>
        <w:rPr/>
      </w:pPr>
      <w:r>
        <w:rPr/>
        <w:t> </w:t>
      </w:r>
    </w:p>
    <w:tbl>
      <w:tblPr>
        <w:tblW w:w="9282" w:type="dxa"/>
        <w:jc w:val="left"/>
        <w:tblInd w:w="0" w:type="dxa"/>
        <w:tblLayout w:type="fixed"/>
        <w:tblCellMar>
          <w:top w:w="28" w:type="dxa"/>
          <w:left w:w="28" w:type="dxa"/>
          <w:bottom w:w="28" w:type="dxa"/>
          <w:right w:w="28" w:type="dxa"/>
        </w:tblCellMar>
      </w:tblPr>
      <w:tblGrid>
        <w:gridCol w:w="4576"/>
        <w:gridCol w:w="146"/>
        <w:gridCol w:w="211"/>
        <w:gridCol w:w="676"/>
        <w:gridCol w:w="146"/>
        <w:gridCol w:w="146"/>
        <w:gridCol w:w="211"/>
        <w:gridCol w:w="676"/>
        <w:gridCol w:w="146"/>
        <w:gridCol w:w="146"/>
        <w:gridCol w:w="211"/>
        <w:gridCol w:w="631"/>
        <w:gridCol w:w="166"/>
        <w:gridCol w:w="146"/>
        <w:gridCol w:w="146"/>
        <w:gridCol w:w="526"/>
        <w:gridCol w:w="376"/>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Employee Compensations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Employee Share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Third-Party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Administrative expenses were $20.6 million for the year ended December 31, 2023, compared to $17.8 million for the year ended December 31, 2024. The decrease of $(2.9) million, or 13.9%, was primarily due to a $(1.8) million decrease in other expenses due to a decrease in third-party service fees and other administrative expenses related to the business combination in the year ended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We expect to incur significant expenses and continuing operating losses for the foreseeable future as we advance the clinical development of our programs. For the years ended December 31, 2023, 2024 and 2025, our net loss was $172.6 million, $53.9 million and $10.9 million, respectively and the fair value change of convertible preferred shares was $76.4 million, nil, and nil, and an excess fair value charge of shares over fair value net assets acquired in the business combination agreement of $45.5 million, nil, and nil, respectively, leaving net loss from operations as $50.7 million, $53.6 million and $10.9 million, respectively, which resulted substantially from R&amp;D expenses and administrative expenses. For the years ended December 31, 2024 and 2025, we had an accumulated deficit of $700.8 million and $711.8 million, respectively.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Based on our evaluation of conditions and events as of December 31, 2025, management has determined that substantial doubt exists about the Company’s ability to continue as a going concern. As of that date, we had cash and cash equivalents of $3.3 million, a history of recurring losses and negative shareholders’ equity, and limited liquidity relative to our operating requirements. Although we implemented cost-reduction initiatives beginning in early 2024 and continuing through 2025, and expect liquidity support from financing activities and strategic partnerships, even after factoring in the expected receipt of the $2.3 million outstanding receivable balance of the upfront payment from LaunXP in Q2 2026, our existing cash resources are not sufficient to meet our obligations as they come due within the assessment period through April 30, 2027. Subsequent to year-end, our liquidity was further supported by a $2.0 million unsecured bridge loan provided by our Chairman and CEO, Mr. Hung-Wen (Howard) Chen, on March 30, 2026. Management’s plans to address this shortfall include raising additional capital through equity or debt financing and generating cash inflows from strategic partnerships; however, these plans are not contractually committed, are subject to external factors and there can be no assurance that such capital will be available on acceptable terms, or at all. These conditions indicate the existence of material uncertainties that may cast substantial doubt on the Company’s ability to continue as a going concern.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Notwithstanding these material uncertainties, the accompanying financial statements have been prepared on a going concern basis of accounting and do not include any adjustments to the carrying amounts and classification of assets and liabilities that may be necessary in the event that the Company is no longer able to continue its operations as a going concern.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our cash and cash equivalents and highly liquid financial assets as of December 31, 2024 and as of December 31, 2025:</w:t>
      </w:r>
    </w:p>
    <w:p>
      <w:pPr>
        <w:pStyle w:val="TextBody"/>
        <w:bidi w:val="0"/>
        <w:jc w:val="left"/>
        <w:rPr/>
      </w:pPr>
      <w:r>
        <w:rPr/>
        <w:t> </w:t>
      </w:r>
    </w:p>
    <w:tbl>
      <w:tblPr>
        <w:tblW w:w="4459" w:type="dxa"/>
        <w:jc w:val="left"/>
        <w:tblInd w:w="0" w:type="dxa"/>
        <w:tblLayout w:type="fixed"/>
        <w:tblCellMar>
          <w:top w:w="28" w:type="dxa"/>
          <w:left w:w="28" w:type="dxa"/>
          <w:bottom w:w="28" w:type="dxa"/>
          <w:right w:w="28" w:type="dxa"/>
        </w:tblCellMar>
      </w:tblPr>
      <w:tblGrid>
        <w:gridCol w:w="2266"/>
        <w:gridCol w:w="146"/>
        <w:gridCol w:w="211"/>
        <w:gridCol w:w="571"/>
        <w:gridCol w:w="146"/>
        <w:gridCol w:w="146"/>
        <w:gridCol w:w="211"/>
        <w:gridCol w:w="57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seek to raise any necessary additional capital through a combination of public or private equity offerings, debt financings, collaborations, strategic alliances, licensing arrangements and other marketing and distribution arrangements. There can be no assurance that we will be successful in acquiring additional funding at levels sufficient to fund our operations or on terms favorable to us. If we are unable to obtain adequate financing when needed, we may have to delay, reduce the scope of or suspend one or more of our preclinical studies and clinical trials, R&amp;D programs or commercialization efforts.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 To the extent that we raise additional capital through additional collaborations, strategic alliances, or licensing arrangements with third parties, we may have to relinquish valuable rights to our product candidates, future revenue streams, research programs or product candidates or to grant licenses on terms that may not be favorable to us. If we do raise additional capital through public or private equity or convertible debt offerings, the ownership interest of our existing shareholders will be diluted, and the terms of these securities may include liquidation or other preferences that adversely affect our shareholders’ rights. If we raise additional capital through debt financing, we may be subject to covenants limiting or restricting our ability to take specific actions, such as incurring additional debt, making capital expenditures, or declaring dividends.</w:t>
      </w:r>
    </w:p>
    <w:p>
      <w:pPr>
        <w:pStyle w:val="TextBody"/>
        <w:bidi w:val="0"/>
        <w:spacing w:before="120" w:after="283"/>
        <w:jc w:val="left"/>
        <w:rPr>
          <w:rFonts w:ascii="Times New Roman" w:hAnsi="Times New Roman"/>
          <w:sz w:val="20"/>
        </w:rPr>
      </w:pPr>
      <w:r>
        <w:rPr>
          <w:rFonts w:ascii="Times New Roman" w:hAnsi="Times New Roman"/>
          <w:color w:val="000000"/>
          <w:sz w:val="20"/>
        </w:rPr>
        <w:t>Our future capital requirements and the adequacy of available funds will depend on many factors, including those set forth in the section titled Item 3.D. “</w:t>
      </w:r>
      <w:r>
        <w:rPr>
          <w:rFonts w:ascii="Times New Roman" w:hAnsi="Times New Roman"/>
          <w:i/>
          <w:color w:val="000000"/>
          <w:sz w:val="20"/>
        </w:rPr>
        <w:t>Risk Factors—Risks Related to Our Business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years ended December 31, 2023, 2024 and 2025:</w:t>
      </w:r>
    </w:p>
    <w:p>
      <w:pPr>
        <w:pStyle w:val="TextBody"/>
        <w:bidi w:val="0"/>
        <w:jc w:val="left"/>
        <w:rPr/>
      </w:pPr>
      <w:r>
        <w:rPr/>
        <w:t> </w:t>
      </w:r>
    </w:p>
    <w:tbl>
      <w:tblPr>
        <w:tblW w:w="8983" w:type="dxa"/>
        <w:jc w:val="left"/>
        <w:tblInd w:w="0" w:type="dxa"/>
        <w:tblLayout w:type="fixed"/>
        <w:tblCellMar>
          <w:top w:w="28" w:type="dxa"/>
          <w:left w:w="28" w:type="dxa"/>
          <w:bottom w:w="28" w:type="dxa"/>
          <w:right w:w="28" w:type="dxa"/>
        </w:tblCellMar>
      </w:tblPr>
      <w:tblGrid>
        <w:gridCol w:w="5161"/>
        <w:gridCol w:w="146"/>
        <w:gridCol w:w="211"/>
        <w:gridCol w:w="736"/>
        <w:gridCol w:w="166"/>
        <w:gridCol w:w="146"/>
        <w:gridCol w:w="211"/>
        <w:gridCol w:w="736"/>
        <w:gridCol w:w="166"/>
        <w:gridCol w:w="146"/>
        <w:gridCol w:w="211"/>
        <w:gridCol w:w="736"/>
        <w:gridCol w:w="2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flows from operating activities are significantly affected by the growth of our business, and are primarily related to R&amp;D, and administrative expenses. Our operating cash flows are also affected by fluctuations in deposits, prepayments and other payable and accruals and other current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$(43.2) million for the year ended December 31, 2023, resulting primarily from a net loss of $(172.6) million, adjusted for non-cash charges of $0.7 million in depreciation and amortization including depreciation of operating right-of-use of assets, $0.2 million in loss on disposal of fixed assets, $12.7 million in share-based payments, $76.4 million in negative fair value change of our convertible preferred shares, $45.5 million in IFRS 2 listing expenses, $(0.3) million in unrealized foreign currency loss, $0.1 million in finance costs, and partially offset by $(0.8) million in interest income, $(1.6) million in the fair value change of financial liabilities through FVTPL, and $3.6 million in working capital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$(28.7) million for the year ended December 31, 2024, resulting primarily from a net loss of $(53.9) million, adjusted for non-cash charges of $0.4 million in depreciation and amortization including depreciation of operating right-of-use of assets, $13.0 million in impairment loss on intangible assets, $10.9 million in share-based payments, partially offset by $(1.0) million in working capital adjustments.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$(10.4) million for the year ended December 31, 2025, resulting primarily from a net loss of $(10.9) million, adjusted for non-cash charges of $0.3 million in depreciation and amortization including depreciation of operating right-of-use of assets, $1.7 million in impairment loss on intangible assets, $(1.0) million in share-based payments, partially offset by $0.4 million in working capital adjustments.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 From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$21.4 million for the year ended December 31, 2023 resulting primarily from the proceeds from disposal of our financial assets held at fair value for $13.3 million, proceeds from redemption of our long term time deposits with original maturity over three months for $4.3 million, proceeds from redemption of our short term time deposits with original maturity over three months for $2.9 million, and interest received on such redemptions for $0.8 million, and proceeds from disposal of plant and equipment for $0.1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$6.0 million for the year ended December 31, 2024 resulting primarily from the proceeds from disposal of our financial assets held at fair value for $5.8 million, and interest received on such financial assets for $0.2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$0.2 million for the year ended December 31, 2025 resulting primarily from proceeds from disposal of plant and equipment for $0.1 million and interest received on such financial assets for $0.2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 From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was $21.2 million for the year ended December 31, 2023 resulting primarily from the proceeds from the PIPE financing and business combination, net of transaction costs for $20.2 million, the proceeds from our bank loans of $4.2 million, and proceeds from the issuance of our Class A Ordinary Shares upon the exercise of share options, and partially offset by the payment of deferred underwriting fees for $(2.8) million, the repayment of our lease liabilities for $(0.4) million, and interest expense of $(0.1)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was $0.5 million for the year ended December 31, 2024 resulting primarily from the proceeds from the PIPE financing in May 2024, net of transaction costs for $5.0 million and $0.7 million in proceeds from bank loans which was partially offset by the repayment of our bank loans of $(4.9) million, repayment of lease liabilities of $(0.2) million, and interest paid of $(0.2)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$3.7 million for the year ended December 31, 2025 resulting primarily from the proceeds from the PIPE financing in September 2025, net of transaction costs for $3.9 million which was partially offset by the repayment of lease liabilities of $(0.1) million, and interest paid of $(0.1)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contractual obligations as of December 31, 2025, and the effects of such obligations are expected to have on our liquidity and cash flow in future periods (in thousands):</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1786"/>
        <w:gridCol w:w="146"/>
        <w:gridCol w:w="211"/>
        <w:gridCol w:w="571"/>
        <w:gridCol w:w="146"/>
        <w:gridCol w:w="146"/>
        <w:gridCol w:w="348"/>
        <w:gridCol w:w="942"/>
        <w:gridCol w:w="146"/>
        <w:gridCol w:w="146"/>
        <w:gridCol w:w="211"/>
        <w:gridCol w:w="571"/>
        <w:gridCol w:w="146"/>
        <w:gridCol w:w="146"/>
        <w:gridCol w:w="295"/>
        <w:gridCol w:w="485"/>
        <w:gridCol w:w="146"/>
        <w:gridCol w:w="146"/>
        <w:gridCol w:w="545"/>
        <w:gridCol w:w="895"/>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we entered into new short-term lease agreements for the use of offices, and plant and equipment. As the lease terms had terms of 12 months or less, they were accounted for as short-term leases, and the related lease payments are recognized as an expense on a straight-line basis over the lease term.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as previously disclosed, we entered a legal settlement to resolve litigation initiated by two minority investors. Under the terms of the agreement, the Company agreed to pay total cash consideration of $5.9 million. As of December 31, 2025, the Company made payments of $1.9 million, with the remainder classified as short term ($1.0 million) and long term ($3.0 million) based on the payment terms.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any off-balance sheet arrangements as of December 31, 2024 or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 Patents and Licenses, etc.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business operations through Apollomics U.S., at its headquarters in the United States, and through our wholly-owned subsidiaries in the PRC. These operating subsidiaries conduct R&amp;D activities relating to the biologics of oncology, to facilitate the discovery and development of product candidates and expand our global presence. While we have in-house clinical operations teams in the United States and in the PRC, we have worked with and plan to continue to work with third-party CROs to monitor and manage data for our ongoing preclinical and clinical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costs incurred on our R&amp;D projects are capitalized and deferred only when we can demonstrate the technical feasibility of completing the intangible asset so that it will be available for use or sale, our intention to complete and our ability to use or sell the asset, how the asset will generate future economic benefits, the availability of resources to complete the pipeline and the ability to measure reliably the expenditure during the development. Development costs which do not meet these criteria are expensed when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 the progress of each of the R&amp;D projects and determine whether the criteria are met for capitalization. For all periods presented, all the related development costs are expensed when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rights are important to the success of our business. Our future commercial success depends, in part, on our ability to obtain and maintain patent and other intellectual property and proprietary protections for commercially important technologies, inventions and know-how related to our business, defend and enforce our patents, preserve the confidentiality of our trade secrets, and operate without infringing, misappropriating or otherwise violating the valid, enforceable intellectual property rights of third parties. As of December 31, 2025, we owned a total of 65 granted or issued patents and 24 pending patent applications, including one pending PCT applications, relating to our drug candidates and technologies.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Trend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Macroeconomic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challenges have contributed to rising inflation, significant increases in fuel costs, supply-chain disruptions, adverse labor market conditions, and increased difficulty with raising capital for unprofitable companies. For example, the war in Ukraine and Iran has had a global impact on the supply and price of fuel and has contributed to increased inflation around the world.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Regulatory Concerns</w:t>
      </w:r>
    </w:p>
    <w:p>
      <w:pPr>
        <w:pStyle w:val="TextBody"/>
        <w:bidi w:val="0"/>
        <w:spacing w:before="120" w:after="283"/>
        <w:jc w:val="left"/>
        <w:rPr>
          <w:rFonts w:ascii="Times New Roman" w:hAnsi="Times New Roman"/>
          <w:sz w:val="20"/>
        </w:rPr>
      </w:pPr>
      <w:r>
        <w:rPr>
          <w:rFonts w:ascii="Times New Roman" w:hAnsi="Times New Roman"/>
          <w:color w:val="000000"/>
          <w:sz w:val="20"/>
        </w:rPr>
        <w:t>We operate in an industry that is subject to extensive regulations, which have become more stringent over time. See also Item 4.B. “</w:t>
      </w:r>
      <w:r>
        <w:rPr>
          <w:rFonts w:ascii="Times New Roman" w:hAnsi="Times New Roman"/>
          <w:i/>
          <w:color w:val="000000"/>
          <w:sz w:val="20"/>
        </w:rPr>
        <w:t>Business Overview—Government Regulations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and financial review and prospects is based on our consolidated financial statements, which have been prepared in accordance with accounting policies that conform with International Financial Reporting Standards as issued by the International Accounting Standards Board. In the application of our accounting policies, we are required to make judgments, estimates and assumptions about the carrying amounts of assets and liabilities that are not readily apparent from other sources. The estimates and underlying assumptions are based on historical experience and other factors that are considered to be relevant. Our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refer to note 5 to our audited consolidated financial statements included elsewhere in this Annual Report for more details about our material accounting policies and critical judgment and key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 and Commitments</w:t>
      </w:r>
    </w:p>
    <w:p>
      <w:pPr>
        <w:pStyle w:val="TextBody"/>
        <w:bidi w:val="0"/>
        <w:spacing w:before="120" w:after="283"/>
        <w:jc w:val="left"/>
        <w:rPr>
          <w:rFonts w:ascii="Times New Roman" w:hAnsi="Times New Roman"/>
          <w:sz w:val="20"/>
        </w:rPr>
      </w:pPr>
      <w:r>
        <w:rPr>
          <w:rFonts w:ascii="Times New Roman" w:hAnsi="Times New Roman"/>
          <w:color w:val="231F20"/>
          <w:sz w:val="20"/>
        </w:rPr>
        <w:t>For details regarding our ongoing legal proceedings, see Item 8.A. “</w:t>
      </w:r>
      <w:r>
        <w:rPr>
          <w:rFonts w:ascii="Times New Roman" w:hAnsi="Times New Roman"/>
          <w:i/>
          <w:color w:val="231F20"/>
          <w:sz w:val="20"/>
        </w:rPr>
        <w:t>Consolidated Statements and Other Financial Information—Legal and Arbitration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defined in Section 102(b)(1) of the JOBS Act (the “JOBS Act”), we are an emerging growth company (“EGC”). As such, we will be eligible for and intends to rely on certain exemptions and reduced reporting requirements provided by the JOBS Act,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its periodic reports and proxy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EGC under the JOBS Act until the earliest of (i) the last day of the fiscal year in which the market value of our Class A Ordinary Shares that are held by non-affiliates exceeds $700 million as of the last business day of the second quarter of that fiscal year, (ii) the last day of the fiscal year in which it has total annual gross revenue of $1.235 billion or more during such fiscal year (as indexed for inflation), (iii) the date on which it was issued more than $1 billion in non-convertible debt in the prior three-year period or (iv) the last day of the fiscal year following the fifth anniversary of the date of the Closing.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item_6"/>
      <w:bookmarkEnd w:id="14"/>
      <w:r>
        <w:rPr>
          <w:rFonts w:ascii="Times New Roman" w:hAnsi="Times New Roman"/>
          <w:b/>
          <w:color w:val="000000"/>
          <w:sz w:val="20"/>
        </w:rPr>
        <w:t>Item 6. Directors, Senior Management and Employees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Directors and Senior Management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directors and executive officers as of April 24, 2026 the date of this Annual Report. The address for each of the directors and executive officers is 989 E. Hillsdale Boulevard, Suite 220, Foster City, CA 94404.</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2656"/>
        <w:gridCol w:w="146"/>
        <w:gridCol w:w="391"/>
        <w:gridCol w:w="146"/>
        <w:gridCol w:w="529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7"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pPr>
            <w:r>
              <w:rPr/>
              <w:t> </w:t>
            </w:r>
          </w:p>
        </w:tc>
        <w:tc>
          <w:tcPr>
            <w:tcW w:w="5296" w:type="dxa"/>
            <w:tcBorders>
              <w:bottom w:val="single" w:sz="7" w:space="0" w:color="000000"/>
            </w:tcBorders>
            <w:tcMar>
              <w:top w:w="0" w:type="dxa"/>
              <w:left w:w="0" w:type="dxa"/>
              <w:right w:w="0" w:type="dxa"/>
            </w:tcMar>
            <w:vAlign w:val="center"/>
          </w:tcPr>
          <w:p>
            <w:pPr>
              <w:pStyle w:val="TableContents"/>
              <w:bidi w:val="0"/>
              <w:spacing w:before="0" w:after="283"/>
              <w:ind w:left="0" w:right="0" w:firstLine="180"/>
              <w:jc w:val="left"/>
              <w:rPr>
                <w:rFonts w:ascii="Times New Roman" w:hAnsi="Times New Roman"/>
                <w:b/>
                <w:color w:val="000000"/>
                <w:sz w:val="16"/>
              </w:rPr>
            </w:pPr>
            <w:r>
              <w:rPr>
                <w:rFonts w:ascii="Times New Roman" w:hAnsi="Times New Roman"/>
                <w:b/>
                <w:color w:val="000000"/>
                <w:sz w:val="16"/>
              </w:rPr>
              <w:t>Position(s)</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Hung-Wen(Howard) Chen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 and Chief Executive Officer</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Yi-Kuei (Alex) Chen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and Chief Operating Officer</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Chief Financial Officer and Principal Financial Officer</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Dr. Hong-Jung (Moses) Chen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Ya-Chi (Claudia) Huang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Chen-Huan(Jack) Jan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Yi-An Chu</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Hsien-Shu Tsai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no family relationships between any of our officers or directors.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Hung-Wen (Howard) Chen </w:t>
      </w:r>
      <w:r>
        <w:rPr>
          <w:rFonts w:ascii="Times New Roman" w:hAnsi="Times New Roman"/>
          <w:color w:val="000000"/>
          <w:sz w:val="20"/>
        </w:rPr>
        <w:t>has served as our Chairman and Chief Executive Officer since September 2025 and is a major shareholder (see Item 7.A. “</w:t>
      </w:r>
      <w:r>
        <w:rPr>
          <w:rFonts w:ascii="Times New Roman" w:hAnsi="Times New Roman"/>
          <w:i/>
          <w:color w:val="000000"/>
          <w:sz w:val="20"/>
        </w:rPr>
        <w:t>Major Shareholders and Related Party Transactions – Major Shareholders”)</w:t>
      </w:r>
      <w:r>
        <w:rPr>
          <w:rFonts w:ascii="Times New Roman" w:hAnsi="Times New Roman"/>
          <w:color w:val="000000"/>
          <w:sz w:val="20"/>
        </w:rPr>
        <w:t>. Mr. Chen is the Founder and Chairman of Gemtek Technology Co., Ltd. and the former Chairman and CEO of Polaris Pharmaceuticals, Inc., currently serving as an Executive Director of Polaris. In 2019, under his leadership, Polaris underwent a comprehensive strategic reorganization, achieving a remarkable turnaround that culminated in a successful IPO in Taiwan in June 2022. He began his career at Taiwan Semiconductor Manufacturing Company (TSMC), where he was engaged in research and development of semiconductor processes and integrated circuits. Mr. Chen holds a Bachelor of Physics and a Master of Electronics Engineering from National Tsing Hua University, Taiwan.</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Yi-Kuei (Alex) Chen </w:t>
      </w:r>
      <w:r>
        <w:rPr>
          <w:rFonts w:ascii="Times New Roman" w:hAnsi="Times New Roman"/>
          <w:color w:val="000000"/>
          <w:sz w:val="20"/>
        </w:rPr>
        <w:t>has served as our Chief Operating Officer and Director since September 2025. With backgrounds in biotechnology and venture capital, he is a co-founder of Maxpro Ventures, where he successfully executed more than 60 private equity investment transactions. Mr. Chen also serves as a member of the Board of Directors of Maxpro Investment Co., Ltd., which is a major shareholder of the Company (see Item 7.A. “</w:t>
      </w:r>
      <w:r>
        <w:rPr>
          <w:rFonts w:ascii="Times New Roman" w:hAnsi="Times New Roman"/>
          <w:i/>
          <w:color w:val="000000"/>
          <w:sz w:val="20"/>
        </w:rPr>
        <w:t>Major Shareholders and Related Party Transactions—Major Shareholders</w:t>
      </w:r>
      <w:r>
        <w:rPr>
          <w:rFonts w:ascii="Times New Roman" w:hAnsi="Times New Roman"/>
          <w:color w:val="000000"/>
          <w:sz w:val="20"/>
        </w:rPr>
        <w:t>.”). Before co-founding Maxpro, Mr. Chen was the Senior Director of Integral Group, managed its Shanghai branch, and served as a board member of multiple portfolio companies such as Generon Corporation, FusionVax, Inc., BioLite, Inc., and Flora International Group Co., Ltd. From 1999 to 2012, Mr. Chen held various senior management positions in the investment division at Central Investment Holdings. He also served on several corporate boards, such as Concord Fund Company, Singfor Life Insurance Company, and CTCI Corporation.</w:t>
      </w:r>
    </w:p>
    <w:p>
      <w:pPr>
        <w:pStyle w:val="TextBody"/>
        <w:bidi w:val="0"/>
        <w:spacing w:before="240" w:after="283"/>
        <w:jc w:val="left"/>
        <w:rPr>
          <w:rFonts w:ascii="Times New Roman" w:hAnsi="Times New Roman"/>
          <w:sz w:val="20"/>
        </w:rPr>
      </w:pPr>
      <w:r>
        <w:rPr>
          <w:rFonts w:ascii="Times New Roman" w:hAnsi="Times New Roman"/>
          <w:b/>
          <w:color w:val="000000"/>
          <w:sz w:val="20"/>
        </w:rPr>
        <w:t>Peter Lin</w:t>
      </w:r>
      <w:r>
        <w:rPr>
          <w:rFonts w:ascii="Times New Roman" w:hAnsi="Times New Roman"/>
          <w:color w:val="000000"/>
          <w:sz w:val="20"/>
        </w:rPr>
        <w:t xml:space="preserve"> has served as our Chief Financial Officer since September 2025. Mr. Lin (CAIA, MBA, MIS) is a seasoned corporate executive and investor with a distinguished career spanning biotechnology, finance, and private equity. He has held key leadership roles as Chief Financial Officer at Tanvex Biopharma, Tanvex CDMO, Tanvex Biopharma USA, and Tanvex Biologic Corporation in Taiwan, where he oversaw financial strategy, capital operations, and corporate governance across global entities. Prior to Tanvex, Mr. Lin served as CFO of Theragent, a pioneering CDMO specializing in gene and cell therapy, where he helped shape the financial foundation of a high-growth startup in the advanced therapeutics space. His career is also deeply rooted in the financial industry. As a principal and investment manager at Solarium Capital, a boutique private equity firm, he led acquisitions and equity investments across diverse sectors including technology, food and beverage, and real estate. Earlier in his career, after earning his MBA, Mr. Lin joined WesCorp as an investment research manager, where he directed a credit research team managing a $32 billion fixed-income portfolio—one of the largest structured credit portfolios globally. His team conducted in-depth analysis of U.S. and international structured finance instruments, including MBS, ABS, CDOs, and corporate debt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Directors</w:t>
      </w:r>
    </w:p>
    <w:p>
      <w:pPr>
        <w:pStyle w:val="TextBody"/>
        <w:bidi w:val="0"/>
        <w:spacing w:before="240" w:after="283"/>
        <w:jc w:val="left"/>
        <w:rPr>
          <w:rFonts w:ascii="Times New Roman" w:hAnsi="Times New Roman"/>
          <w:sz w:val="20"/>
        </w:rPr>
      </w:pPr>
      <w:r>
        <w:rPr>
          <w:rFonts w:ascii="Times New Roman" w:hAnsi="Times New Roman"/>
          <w:b/>
          <w:color w:val="000000"/>
          <w:sz w:val="20"/>
        </w:rPr>
        <w:t>Dr. Hong-Jung (Moses) Chen</w:t>
      </w:r>
      <w:r>
        <w:rPr>
          <w:rFonts w:ascii="Times New Roman" w:hAnsi="Times New Roman"/>
          <w:color w:val="000000"/>
          <w:sz w:val="20"/>
        </w:rPr>
        <w:t xml:space="preserve"> has served as an Independent Director since 2023. Dr. Chen was Managing Director of Maxpro Ventures LTD from May 2018 to February 2024, which is an investment firm focused on breakthrough biomedical technology companies, and served as Chairman of the Board of Directors and Chief Executive Officer of Maxpro Capital Acquisition Corp. from June 2021 to March 2023. Dr. Chen is also an ad hoc reviewer of Stem Cells Translational Medicine, and has served as director of Uneuron Biomedical Co. Ltd. since March 2023, and has been a supervisor of ReVasgen Inc. since October 2014. Previously, from October 2014 to January 2017, Dr. Chen worked as Vice President and Acting Chief Operating Officer for SyneuRx International Corp. in Taiwan, where he was responsible for supervising the company’s daily operation and personally interacting with VC representatives and private investors. Dr. Chen has more than 20 years of experience in formulating and implementing basic research and preclinical development strategies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small molecules, biologics and cell therapy and is also experienced in advancing drug candidates from discovery to nomination for IND and development. Dr. Chen received his Ph.D. in Microbiology and Molecular Genetics from Rutgers, The State University of New Jersey and The University of Medicine and Dentistry of New Jersey. He completed his postdoctoral training in neuroscience at California Institute of Technology.</w:t>
      </w:r>
    </w:p>
    <w:p>
      <w:pPr>
        <w:pStyle w:val="TextBody"/>
        <w:bidi w:val="0"/>
        <w:spacing w:before="240" w:after="283"/>
        <w:jc w:val="left"/>
        <w:rPr>
          <w:rFonts w:ascii="Times New Roman" w:hAnsi="Times New Roman"/>
          <w:sz w:val="20"/>
        </w:rPr>
      </w:pPr>
      <w:r>
        <w:rPr>
          <w:rFonts w:ascii="Times New Roman" w:hAnsi="Times New Roman"/>
          <w:b/>
          <w:color w:val="000000"/>
          <w:sz w:val="20"/>
        </w:rPr>
        <w:t>Hsien-Shu (Jerry) Tsai</w:t>
      </w:r>
      <w:r>
        <w:rPr>
          <w:rFonts w:ascii="Times New Roman" w:hAnsi="Times New Roman"/>
          <w:color w:val="000000"/>
          <w:sz w:val="20"/>
        </w:rPr>
        <w:t xml:space="preserve"> has served as an Independent Director since September 2025. Mr. Tsai has accumulated more than 20 years of cross-industry expertise spanning investment, business restructuring, and financial management. He has held leadership roles across major conglomerates and innovation institutions, including Hon Hai Group, Ting Hsin International Group, and the Institute for Information Industry (III). His career reflects a strong track record in capital market operations, industry analysis, and financial strategy execution.</w:t>
      </w:r>
    </w:p>
    <w:p>
      <w:pPr>
        <w:pStyle w:val="TextBody"/>
        <w:bidi w:val="0"/>
        <w:spacing w:before="240" w:after="283"/>
        <w:jc w:val="left"/>
        <w:rPr>
          <w:rFonts w:ascii="Times New Roman" w:hAnsi="Times New Roman"/>
          <w:sz w:val="20"/>
        </w:rPr>
      </w:pPr>
      <w:r>
        <w:rPr>
          <w:rFonts w:ascii="Times New Roman" w:hAnsi="Times New Roman"/>
          <w:b/>
          <w:color w:val="000000"/>
          <w:sz w:val="20"/>
        </w:rPr>
        <w:t>Yi-An (Frank) Chu</w:t>
      </w:r>
      <w:r>
        <w:rPr>
          <w:rFonts w:ascii="Times New Roman" w:hAnsi="Times New Roman"/>
          <w:color w:val="000000"/>
          <w:sz w:val="20"/>
        </w:rPr>
        <w:t xml:space="preserve"> has served as an Independent Director since September 2025. Mr. Chu has over 30 years of professional experience spanning the capital markets and the high-tech industry. He is the former Chief Financial Officer of Global Investment Holdings (ticker: 3701) and has previously held senior leadership positions across several major corporate groups, including Compal, VIA Technologies, and Foxconn. His professional expertise covers corporate finance, investment management, strategic planning, and business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Dr. Chen-Huan (Jack) Jan</w:t>
      </w:r>
      <w:r>
        <w:rPr>
          <w:rFonts w:ascii="Times New Roman" w:hAnsi="Times New Roman"/>
          <w:color w:val="000000"/>
          <w:sz w:val="20"/>
        </w:rPr>
        <w:t xml:space="preserve"> has served as an Independent Director since September 2025. Dr. Jan is a seasoned academic and business leader whose distinguished career spans over three decades across education, international business diplomacy, and corporate strategy. Dr. Jan is the president and chief consultant of Jan Elite International Co., Ltd., independent director of Gemtek Technology and a consultant of SelectFlorida. He earned his Ph.D. in Mathematics from the University of Louisiana at Lafayette and served as a visiting assistant professor at the University of West Florida, an associate professor at National Pingtung University, where he founded the Taiwan-U.S Commercial Forum organized with American Institute in Taiwan (AIT) to promote international collaboration. Beyond academia, Dr. Jan has been deeply engaged in strengthening Taiwan-U.S. relations and had served as Governor of the American Chamber of Commerce in Kaohsiung. He has received multiple honors, including recognition from the American Institute in Taiwan, the U.S. Department of Commerce, and U.S. Idaho state government.</w:t>
      </w:r>
    </w:p>
    <w:p>
      <w:pPr>
        <w:pStyle w:val="TextBody"/>
        <w:bidi w:val="0"/>
        <w:spacing w:before="240" w:after="283"/>
        <w:jc w:val="left"/>
        <w:rPr>
          <w:rFonts w:ascii="Times New Roman" w:hAnsi="Times New Roman"/>
          <w:sz w:val="20"/>
        </w:rPr>
      </w:pPr>
      <w:r>
        <w:rPr>
          <w:rFonts w:ascii="Times New Roman" w:hAnsi="Times New Roman"/>
          <w:b/>
          <w:color w:val="000000"/>
          <w:sz w:val="20"/>
        </w:rPr>
        <w:t>Dr. Ya-Chi (Claudia) Huang</w:t>
      </w:r>
      <w:r>
        <w:rPr>
          <w:rFonts w:ascii="Times New Roman" w:hAnsi="Times New Roman"/>
          <w:color w:val="000000"/>
          <w:sz w:val="20"/>
        </w:rPr>
        <w:t xml:space="preserve"> has served as an Independent Director since November 2025. Previously, Dr. Huang served as Investment Manager at Diamond Biofund (6901.TW), where she oversaw post-investment management for portfolio companies and participated in Diamond Biofund’s IPO on the Taiwan Stock Exchange in 2023. Earlier in her career, she was Deputy Manager in the Research Department at Fubon Securities Investment Services. She holds a Ph.D. in Microbiology from National Taiwan University College of Medicine.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of Directors and Executive Officers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Apollomics’ Compensation of Officers and Directors</w:t>
      </w:r>
    </w:p>
    <w:p>
      <w:pPr>
        <w:pStyle w:val="TextBody"/>
        <w:bidi w:val="0"/>
        <w:spacing w:before="120" w:after="283"/>
        <w:jc w:val="left"/>
        <w:rPr>
          <w:rFonts w:ascii="Times New Roman" w:hAnsi="Times New Roman"/>
          <w:sz w:val="20"/>
        </w:rPr>
      </w:pPr>
      <w:r>
        <w:rPr>
          <w:rFonts w:ascii="Times New Roman" w:hAnsi="Times New Roman"/>
          <w:color w:val="000000"/>
          <w:sz w:val="20"/>
        </w:rPr>
        <w:t>The aggregate compensation paid and share-based compensation and other payments expensed by us and our subsidiaries to our directors and executive officers with respect to the year ended December 31, 2025 was $514,018. Notably, in August and September 2025, we appointed a new management team and initiated an operational restructuring to optimize its workforce. See Item 6.D.(</w:t>
      </w:r>
      <w:r>
        <w:rPr>
          <w:rFonts w:ascii="Times New Roman" w:hAnsi="Times New Roman"/>
          <w:i/>
          <w:color w:val="000000"/>
          <w:sz w:val="20"/>
        </w:rPr>
        <w:t>Employees</w:t>
      </w:r>
      <w:r>
        <w:rPr>
          <w:rFonts w:ascii="Times New Roman" w:hAnsi="Times New Roman"/>
          <w:color w:val="000000"/>
          <w:sz w:val="20"/>
        </w:rPr>
        <w:t xml:space="preserve">) below for more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so long as we qualify as a foreign private issuer, we are not required to comply with the proxy rules applicable to U.S. domestic companies, including the requirement applicable to emerging growth companies to disclose the compensation of its Chief Executive Officer and other two most highly compensated executive officers on an individual, rather than an aggregate,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2016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2016, the Board adopted, and our shareholders approved the CB Therapeutics Inc. 2016 Equity Incentive Plan (the “2016 Plan”). The 2016 Plan has not been amended since its adoption in July 2016. No further awards will be made under the 2016 Plan; however, awards outstanding under the 2016 Plan will continue to be governed by their existing terms. As of December 31, 2025, there were outstanding options to purchase 59,241 of our Class A Ordinary Shares with a weighted average exercise price of $419.60, 56,618 of which were vested and exercisable, and 2,623 outstanding unvested restricted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2023 Share Incentive Plan</w:t>
      </w:r>
    </w:p>
    <w:p>
      <w:pPr>
        <w:pStyle w:val="TextBody"/>
        <w:bidi w:val="0"/>
        <w:spacing w:before="120" w:after="283"/>
        <w:jc w:val="left"/>
        <w:rPr>
          <w:rFonts w:ascii="Times New Roman" w:hAnsi="Times New Roman"/>
          <w:sz w:val="20"/>
        </w:rPr>
      </w:pPr>
      <w:r>
        <w:rPr>
          <w:rFonts w:ascii="Times New Roman" w:hAnsi="Times New Roman"/>
          <w:color w:val="000000"/>
          <w:sz w:val="20"/>
        </w:rPr>
        <w:t>We use equity-based awards to provide our employees with an incentive for remaining in our service and aligning their interests with those of our equity holders. In connection with the Business Combination, the Apollomics Board adopted the 2023 Incentive Award Plan (as amended from time to time), which is referred to in this Annual Report as the “</w:t>
      </w:r>
      <w:r>
        <w:rPr>
          <w:rFonts w:ascii="Times New Roman" w:hAnsi="Times New Roman"/>
          <w:b/>
          <w:i/>
          <w:color w:val="000000"/>
          <w:sz w:val="20"/>
        </w:rPr>
        <w:t>2023 Incentive Plan</w:t>
      </w:r>
      <w:r>
        <w:rPr>
          <w:rFonts w:ascii="Times New Roman" w:hAnsi="Times New Roman"/>
          <w:color w:val="000000"/>
          <w:sz w:val="20"/>
        </w:rPr>
        <w:t>” and became effective as of the Closing. The 2023 Incentive Plan allows us to make equity and equity-based incentive awards to officers, employees, non-employee directors and our consultants and affiliates. Our Board anticipates that providing such persons with a direct stake in us will assure a closer alignment of the interests of such individuals with our interests and the interests of our shareholders, thereby stimulating their efforts on our behalf and strengthening their desire to remain with us and our affiliates.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Administration</w:t>
      </w:r>
      <w:r>
        <w:rPr>
          <w:rFonts w:ascii="Times New Roman" w:hAnsi="Times New Roman"/>
          <w:color w:val="000000"/>
          <w:sz w:val="20"/>
        </w:rPr>
        <w:t>. The compensation committee administers the 2023 Incentive Plan. The compensation committee generally has the authority to designate participants, determine the type or types of awards to be granted to a participant, determine the terms and conditions of any agreements evidencing any awards granted under the 2023 Incentive Plan, accelerate the vesting or exercisability of, payment for or lapse of restrictions on, awards and to adopt, alter and repeal rules, guidelines and practices relating to the 2023 Incentive Plan. The compensation committee has full discretion to administer and interpret the 2023 Incentive Plan and to make any other determinations and/or take any other action that it deems necessary or desirable for the administration of the 2023 Incentive Plan, and any such determinations or actions taken by the compensation committee shall be final, conclusive and binding upon all persons and entities. The compensation committee may delegate to one or more of our officers, or any affiliate, the authority to act on behalf of the compensation committee with respect to any matter, right, obligation or election that is the responsibility of or that is allocated to the compensation committee in the 2023 Incentive Plan and that may be so delegated as a matter of law, except for grants of awards to persons subject to Section 16 of the Exchange Act.</w:t>
      </w:r>
    </w:p>
    <w:p>
      <w:pPr>
        <w:pStyle w:val="TextBody"/>
        <w:bidi w:val="0"/>
        <w:spacing w:before="240" w:after="283"/>
        <w:jc w:val="left"/>
        <w:rPr>
          <w:rFonts w:ascii="Times New Roman" w:hAnsi="Times New Roman"/>
          <w:sz w:val="20"/>
        </w:rPr>
      </w:pPr>
      <w:r>
        <w:rPr>
          <w:rFonts w:ascii="Times New Roman" w:hAnsi="Times New Roman"/>
          <w:i/>
          <w:color w:val="000000"/>
          <w:sz w:val="20"/>
        </w:rPr>
        <w:t>Eligibility</w:t>
      </w:r>
      <w:r>
        <w:rPr>
          <w:rFonts w:ascii="Times New Roman" w:hAnsi="Times New Roman"/>
          <w:color w:val="000000"/>
          <w:sz w:val="20"/>
        </w:rPr>
        <w:t>. Certain of our employees, directors, officers, advisors or consultants, or our affiliates, are eligible to participate in the 2023 Incentive Plan.</w:t>
      </w:r>
    </w:p>
    <w:p>
      <w:pPr>
        <w:pStyle w:val="TextBody"/>
        <w:bidi w:val="0"/>
        <w:spacing w:before="240" w:after="283"/>
        <w:jc w:val="left"/>
        <w:rPr>
          <w:rFonts w:ascii="Times New Roman" w:hAnsi="Times New Roman"/>
          <w:sz w:val="20"/>
        </w:rPr>
      </w:pPr>
      <w:r>
        <w:rPr>
          <w:rFonts w:ascii="Times New Roman" w:hAnsi="Times New Roman"/>
          <w:i/>
          <w:color w:val="000000"/>
          <w:sz w:val="20"/>
        </w:rPr>
        <w:t>Number of Shares Authorized</w:t>
      </w:r>
      <w:r>
        <w:rPr>
          <w:rFonts w:ascii="Times New Roman" w:hAnsi="Times New Roman"/>
          <w:color w:val="000000"/>
          <w:sz w:val="20"/>
        </w:rPr>
        <w:t>. We initially reserved for the issuance of awards under the 2023 Incentive Plan the number of Class A Ordinary Shares equal to 10% of all outstanding Class A Ordinary Shares following the closing of the Business Combination. The number of shares reserved for issuance under the 2023 Incentive Plan will increase automatically on January 1 of each year from 2024 through 2033 by the number of shares equal to the lesser of (i) 3% of the total number of outstanding shares (rounded down to the nearest whole share) of Class A Ordinary Shares as of the immediately preceding December 31, or (ii) a number as may be determined by our Board. Notwithstanding anything to the contrary in the 2023 Incentive Plan, no more than the number of shares of Class A Ordinary Shares initially reserved under the 2023 Incentive Plan may be issued pursuant to the exercise of incentive share options (“ISOs”) under the 2023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Ordinary Shares underlying awards under the 2023 Incentive Plan that are forfeited, canceled, expire unexercised or are settled in cash will be available again for new awards under the 2023 Incentive Plan. If there is any change in Apollomics’ corporate capitalization, the Committee in its sole discretion may make substitutions or adjustments to the number of Class A Ordinary Shares reserved for issuance under the 2023 Incentive Plan, the number of Class A Ordinary Shares covered by awards then outstanding under the 2023 Incentive Plan, the limitations on awards under the 2023 Incentive Plan, the exercise price of outstanding options and such other equitable substitutions or adjustments as it may determine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2023 Incentive Plan has a 10-year term and expires on March 29, 2033, and no further awards may be granted under the 2023 Incentive Plan after that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there were outstanding options to purchase 32,831 of our Class A Ordinary Shares with a weighted average exercise price of $66.09, 23,893 of which were vested and exercisable, and 8,938 outstanding unvested restricted shares.</w:t>
      </w:r>
    </w:p>
    <w:p>
      <w:pPr>
        <w:pStyle w:val="TextBody"/>
        <w:bidi w:val="0"/>
        <w:spacing w:before="240" w:after="283"/>
        <w:jc w:val="left"/>
        <w:rPr>
          <w:rFonts w:ascii="Times New Roman" w:hAnsi="Times New Roman"/>
          <w:sz w:val="20"/>
        </w:rPr>
      </w:pPr>
      <w:r>
        <w:rPr>
          <w:rFonts w:ascii="Times New Roman" w:hAnsi="Times New Roman"/>
          <w:i/>
          <w:color w:val="000000"/>
          <w:sz w:val="20"/>
        </w:rPr>
        <w:t>Awards Available for Grant</w:t>
      </w:r>
      <w:r>
        <w:rPr>
          <w:rFonts w:ascii="Times New Roman" w:hAnsi="Times New Roman"/>
          <w:color w:val="000000"/>
          <w:sz w:val="20"/>
        </w:rPr>
        <w:t>. The compensation committee may grant awards of nonqualified share options, ISOs, share appreciation rights (“SARs”), restricted shares, restricted share units (“RSUs”), other share-based awards, other cash-based awards, dividend equivalents, and/or performance compensation awards or any combination of the foregoing.</w:t>
      </w:r>
    </w:p>
    <w:p>
      <w:pPr>
        <w:pStyle w:val="TextBody"/>
        <w:bidi w:val="0"/>
        <w:spacing w:before="240" w:after="283"/>
        <w:jc w:val="left"/>
        <w:rPr>
          <w:rFonts w:ascii="Times New Roman" w:hAnsi="Times New Roman"/>
          <w:sz w:val="20"/>
        </w:rPr>
      </w:pPr>
      <w:r>
        <w:rPr>
          <w:rFonts w:ascii="Times New Roman" w:hAnsi="Times New Roman"/>
          <w:i/>
          <w:color w:val="000000"/>
          <w:sz w:val="20"/>
        </w:rPr>
        <w:t>Share Options and Share Appreciation Rights</w:t>
      </w:r>
      <w:r>
        <w:rPr>
          <w:rFonts w:ascii="Times New Roman" w:hAnsi="Times New Roman"/>
          <w:color w:val="000000"/>
          <w:sz w:val="20"/>
        </w:rPr>
        <w:t>. Share options provide for the purchase of Class A Ordinary Shares in the future at an exercise price set on the grant date. ISOs, in contrast to nonqualified share options, may provide tax deferral beyond exercise and favorable capital gains tax treatment to their holders if certain holding period and other requirements of the Code are satisfied. SARs entitle their holder, upon exercise, to receive from us an amount in cash or shares equal to the appreciation of the shares subject to the award between the grant date and the exercise date. The exercise price of a share option or SAR may not be less than 100% of the fair market value of the underlying share on the grant date (or 110% in the case of ISOs granted to certain significant shareholders), except with respect to certain substitute awards granted in connection with a corporate transaction. The term of a share option or SAR may not be longer than 10 years from grant (or five years in the case of ISOs granted to certain significant shareholders).</w:t>
      </w:r>
    </w:p>
    <w:p>
      <w:pPr>
        <w:pStyle w:val="TextBody"/>
        <w:bidi w:val="0"/>
        <w:spacing w:before="240" w:after="283"/>
        <w:jc w:val="left"/>
        <w:rPr>
          <w:rFonts w:ascii="Times New Roman" w:hAnsi="Times New Roman"/>
          <w:sz w:val="20"/>
        </w:rPr>
      </w:pPr>
      <w:r>
        <w:rPr>
          <w:rFonts w:ascii="Times New Roman" w:hAnsi="Times New Roman"/>
          <w:i/>
          <w:color w:val="000000"/>
          <w:sz w:val="20"/>
        </w:rPr>
        <w:t>Restricted Shares</w:t>
      </w:r>
      <w:r>
        <w:rPr>
          <w:rFonts w:ascii="Times New Roman" w:hAnsi="Times New Roman"/>
          <w:color w:val="000000"/>
          <w:sz w:val="20"/>
        </w:rPr>
        <w:t>. Restricted shares are an award of nontransferable Class A Ordinary Shares that are subject to certain vesting conditions and other restrictions.</w:t>
      </w:r>
    </w:p>
    <w:p>
      <w:pPr>
        <w:pStyle w:val="TextBody"/>
        <w:bidi w:val="0"/>
        <w:spacing w:before="240" w:after="283"/>
        <w:jc w:val="left"/>
        <w:rPr>
          <w:rFonts w:ascii="Times New Roman" w:hAnsi="Times New Roman"/>
          <w:sz w:val="20"/>
        </w:rPr>
      </w:pPr>
      <w:r>
        <w:rPr>
          <w:rFonts w:ascii="Times New Roman" w:hAnsi="Times New Roman"/>
          <w:i/>
          <w:color w:val="000000"/>
          <w:sz w:val="20"/>
        </w:rPr>
        <w:t>RSUs</w:t>
      </w:r>
      <w:r>
        <w:rPr>
          <w:rFonts w:ascii="Times New Roman" w:hAnsi="Times New Roman"/>
          <w:color w:val="000000"/>
          <w:sz w:val="20"/>
        </w:rPr>
        <w:t>. RSUs are contractual promises to deliver Class A Ordinary Shares in the future, which may also remain forfeitable unless and until specified conditions are met and may be accompanied by the right to receive the equivalent value of dividends paid on shares of Class A Ordinary Shares prior to the delivery of the underlying shares (i.e., dividend equivalent rights). The compensation committee may provide that the delivery of the shares underlying RSUs will be deferred if such delivery would result in a violation of applicable law. The terms and conditions applicable to RSUs will be determined by the compensation committee, subject to the conditions and limitations contained in the 2023 Incentive Plan.</w:t>
      </w:r>
    </w:p>
    <w:p>
      <w:pPr>
        <w:pStyle w:val="TextBody"/>
        <w:bidi w:val="0"/>
        <w:spacing w:before="240" w:after="283"/>
        <w:jc w:val="left"/>
        <w:rPr>
          <w:rFonts w:ascii="Times New Roman" w:hAnsi="Times New Roman"/>
          <w:sz w:val="20"/>
        </w:rPr>
      </w:pPr>
      <w:r>
        <w:rPr>
          <w:rFonts w:ascii="Times New Roman" w:hAnsi="Times New Roman"/>
          <w:i/>
          <w:color w:val="000000"/>
          <w:sz w:val="20"/>
        </w:rPr>
        <w:t>Other Share or Cash-Based Awards</w:t>
      </w:r>
      <w:r>
        <w:rPr>
          <w:rFonts w:ascii="Times New Roman" w:hAnsi="Times New Roman"/>
          <w:color w:val="000000"/>
          <w:sz w:val="20"/>
        </w:rPr>
        <w:t xml:space="preserve">. Other share or cash based awards are awards of cash, fully vested Class A Ordinary Shares and other awards valued wholly or partially by referring to, or otherwise based on, Class A Ordinary Shares. Other share or cash 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awards may be granted to participants and may also be available as a payment form in the settlement of other awards or as standalone payments.</w:t>
      </w:r>
    </w:p>
    <w:p>
      <w:pPr>
        <w:pStyle w:val="TextBody"/>
        <w:bidi w:val="0"/>
        <w:spacing w:before="240" w:after="283"/>
        <w:jc w:val="left"/>
        <w:rPr>
          <w:rFonts w:ascii="Times New Roman" w:hAnsi="Times New Roman"/>
          <w:sz w:val="20"/>
        </w:rPr>
      </w:pPr>
      <w:r>
        <w:rPr>
          <w:rFonts w:ascii="Times New Roman" w:hAnsi="Times New Roman"/>
          <w:i/>
          <w:color w:val="000000"/>
          <w:sz w:val="20"/>
        </w:rPr>
        <w:t>Dividend Equivalents</w:t>
      </w:r>
      <w:r>
        <w:rPr>
          <w:rFonts w:ascii="Times New Roman" w:hAnsi="Times New Roman"/>
          <w:color w:val="000000"/>
          <w:sz w:val="20"/>
        </w:rPr>
        <w:t>. Dividend equivalents represent the right to receive the equivalent value of dividends paid on Class A Ordinary Shares and may be granted alone or in tandem with awards other than share options or SARs. Dividend equivalents are credited as of the dividend record dates during the period between the date an award is granted and the date such award vests, is exercised, is distributed or expires, as determined by the Committee; however, dividend equivalents will not be payable unless and until the underlying award becomes payable and will be subject to forfeiture to the same extent as the underlying award.</w:t>
      </w:r>
    </w:p>
    <w:p>
      <w:pPr>
        <w:pStyle w:val="TextBody"/>
        <w:bidi w:val="0"/>
        <w:spacing w:before="240" w:after="283"/>
        <w:jc w:val="left"/>
        <w:rPr>
          <w:rFonts w:ascii="Times New Roman" w:hAnsi="Times New Roman"/>
          <w:sz w:val="20"/>
        </w:rPr>
      </w:pPr>
      <w:r>
        <w:rPr>
          <w:rFonts w:ascii="Times New Roman" w:hAnsi="Times New Roman"/>
          <w:i/>
          <w:color w:val="000000"/>
          <w:sz w:val="20"/>
        </w:rPr>
        <w:t>Performance Awards</w:t>
      </w:r>
      <w:r>
        <w:rPr>
          <w:rFonts w:ascii="Times New Roman" w:hAnsi="Times New Roman"/>
          <w:color w:val="000000"/>
          <w:sz w:val="20"/>
        </w:rPr>
        <w:t>. Performance awards granted pursuant to the 2023 Incentive Plan may be in the form of a cash bonus, or an award of performance shares or performance units denominated in Class A Ordinary Shares, that may be settled in cash, property or by issuance of those shares subject to the satisfaction or achievement of specified performance conditions.</w:t>
      </w:r>
    </w:p>
    <w:p>
      <w:pPr>
        <w:pStyle w:val="TextBody"/>
        <w:bidi w:val="0"/>
        <w:spacing w:before="240" w:after="283"/>
        <w:jc w:val="left"/>
        <w:rPr>
          <w:rFonts w:ascii="Times New Roman" w:hAnsi="Times New Roman"/>
          <w:sz w:val="20"/>
        </w:rPr>
      </w:pPr>
      <w:r>
        <w:rPr>
          <w:rFonts w:ascii="Times New Roman" w:hAnsi="Times New Roman"/>
          <w:i/>
          <w:color w:val="000000"/>
          <w:sz w:val="20"/>
        </w:rPr>
        <w:t>Transferability</w:t>
      </w:r>
      <w:r>
        <w:rPr>
          <w:rFonts w:ascii="Times New Roman" w:hAnsi="Times New Roman"/>
          <w:color w:val="000000"/>
          <w:sz w:val="20"/>
        </w:rPr>
        <w:t>. Each award may be exercised during the participant’s lifetime only by the participant or, if permissible under applicable law, by the participant’s guardian or legal representative and may not be otherwise assigned, alienated, pledged, attached, sold or otherwise transferred or encumbered by a participant other than by will or by the laws of descent and distribution and any such purported assignment, alienation, pledge, attachment, sale, transfer or encumbrance will be void and unenforceable against Apollomics or its affiliates. The compensation committee, however, may permit awards (other than ISOs) to be transferred to family members, a trust for the benefit of such family members, a partnership or limited liability company whose partners or shareholders are the participant and his or her family members or anyone else approved by it.</w:t>
      </w:r>
    </w:p>
    <w:p>
      <w:pPr>
        <w:pStyle w:val="TextBody"/>
        <w:bidi w:val="0"/>
        <w:spacing w:before="240" w:after="283"/>
        <w:jc w:val="left"/>
        <w:rPr>
          <w:rFonts w:ascii="Times New Roman" w:hAnsi="Times New Roman"/>
          <w:sz w:val="20"/>
        </w:rPr>
      </w:pPr>
      <w:r>
        <w:rPr>
          <w:rFonts w:ascii="Times New Roman" w:hAnsi="Times New Roman"/>
          <w:i/>
          <w:color w:val="000000"/>
          <w:sz w:val="20"/>
        </w:rPr>
        <w:t>Amendment and Termination; Repricing</w:t>
      </w:r>
      <w:r>
        <w:rPr>
          <w:rFonts w:ascii="Times New Roman" w:hAnsi="Times New Roman"/>
          <w:color w:val="000000"/>
          <w:sz w:val="20"/>
        </w:rPr>
        <w:t>. In general, our Board may amend, alter, suspend, discontinue or terminate the 2023 Incentive Plan at any time. However, shareholder approval to amend the 2023 Incentive Plan may be necessary if applicable law or the 2023 Incentive Plan so requires. No amendment, alteration, suspension, discontinuance or termination will materially and adversely impair the rights of any participant or recipient of any award without the consent of the participant or recipient. Shareholder approval will not be required for any amendment that reduces the exercise price of any share option or SAR, or cancels any share option or SAR that has an exercise price that is greater than the then-current fair market value of Class A Ordinary Shares in exchange for cash, other awards or share options or SARs with an exercise price per share that is less than the exercise price per share of the original share options or SARs.</w:t>
      </w:r>
    </w:p>
    <w:p>
      <w:pPr>
        <w:pStyle w:val="TextBody"/>
        <w:bidi w:val="0"/>
        <w:spacing w:before="240" w:after="283"/>
        <w:jc w:val="left"/>
        <w:rPr>
          <w:rFonts w:ascii="Times New Roman" w:hAnsi="Times New Roman"/>
          <w:sz w:val="20"/>
        </w:rPr>
      </w:pPr>
      <w:r>
        <w:rPr>
          <w:rFonts w:ascii="Times New Roman" w:hAnsi="Times New Roman"/>
          <w:i/>
          <w:color w:val="000000"/>
          <w:sz w:val="20"/>
        </w:rPr>
        <w:t>Adjustments; Corporate Transactions</w:t>
      </w:r>
      <w:r>
        <w:rPr>
          <w:rFonts w:ascii="Times New Roman" w:hAnsi="Times New Roman"/>
          <w:color w:val="000000"/>
          <w:sz w:val="20"/>
        </w:rPr>
        <w:t>. In the event of certain capitalization events or corporate transactions (as set forth in the 2023 Incentive Plan), including the consummation of a merger or consolidation of us with another corporation, the compensation committee may adjust the number of Class A Ordinary Shares or other securities of Apollomics (or number and kind of other securities or other property) subject to an award, the exercise or strike price of an award, or any applicable performance measure, and may provide for the substitution or assumption of outstanding awards in a manner that substantially preserves the terms of such awards, the acceleration of the exercisability or lapse of restrictions applicable to outstanding awards and the cancellation of outstanding awards in exchange for the consideration received by shareholders of Apollomics in connection with such transaction.</w:t>
      </w:r>
    </w:p>
    <w:p>
      <w:pPr>
        <w:pStyle w:val="TextBody"/>
        <w:bidi w:val="0"/>
        <w:spacing w:before="240" w:after="283"/>
        <w:jc w:val="left"/>
        <w:rPr>
          <w:rFonts w:ascii="Times New Roman" w:hAnsi="Times New Roman"/>
          <w:sz w:val="20"/>
        </w:rPr>
      </w:pPr>
      <w:r>
        <w:rPr>
          <w:rFonts w:ascii="Times New Roman" w:hAnsi="Times New Roman"/>
          <w:b/>
          <w:i/>
          <w:color w:val="000000"/>
          <w:sz w:val="20"/>
        </w:rPr>
        <w:t>2023 Equity Issuances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retain crucial talent and align the interests of our newly appointed management team with those of our shareholders during our operational turnaround, the Company actively granted restricted stock unit (RSU) awards under the broader 2023 Incentive Plan. On February 2, 2026, the Company filed a Registration Statement on Form S-8 with the SEC to register the securities offered to employees and management pursuant to our employee benefit plans. The issuance of these RSUs forms a critical component of our executive compensation structure moving forward and will correspondingly impact our fully diluted share 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9, 2026, the Company awarded RSUs to our directors and executive officers on an individual basis as follows: 20,000 RSUs to Mr. Hung-Wen (Howard) Chen (Chief Executive Officer); 20,000 RSUs to Mr. Yi-Kuei (Alex) Chen (Chief Operating Officer); 40,000 RSUs to Mr. Peter Lin (Chief Financial Officer); and 2,000 RSUs to each independent director.</w:t>
      </w:r>
    </w:p>
    <w:p>
      <w:pPr>
        <w:pStyle w:val="TextBody"/>
        <w:bidi w:val="0"/>
        <w:spacing w:before="240" w:after="283"/>
        <w:jc w:val="left"/>
        <w:rPr>
          <w:rFonts w:ascii="Times New Roman" w:hAnsi="Times New Roman"/>
          <w:sz w:val="20"/>
        </w:rPr>
      </w:pPr>
      <w:r>
        <w:rPr>
          <w:rFonts w:ascii="Times New Roman" w:hAnsi="Times New Roman"/>
          <w:b/>
          <w:i/>
          <w:color w:val="000000"/>
          <w:sz w:val="20"/>
        </w:rPr>
        <w:t>Separation and Severance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Board approved a consulting, separation, and severance package for the Company’s former Chief Financial Officer, Dr. Matthew Plunkett, in an aggregate amount of up to $500,000.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dispute currently exists regarding the severance extension and compensation of the Company’s former Chief Executive Officer, Dr. Guo-Liang Yu. The Board of Directors suspended the implementation of his severance package pending legal review. The Company has formally notified Dr. Yu’s legal counsel that he is not entitled to the severance benefits due to serious misconduct and breaches of fiduciary duties of care and loyalty, particularly relating to his handling of the Series C preferred share redemption demands and the Cayman litigation. The Company has reserved all rights to assert setoff and recoupment, and to pursue recovery of the Company’s losses in appropriate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Board</w:t>
      </w:r>
      <w:r>
        <w:rPr>
          <w:color w:val="000000"/>
        </w:rPr>
        <w:t xml:space="preserve"> </w:t>
      </w:r>
      <w:r>
        <w:rPr>
          <w:rFonts w:ascii="Times New Roman" w:hAnsi="Times New Roman"/>
          <w:b/>
          <w:color w:val="000000"/>
          <w:sz w:val="20"/>
        </w:rPr>
        <w:t>Practices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In limited exceptional circumstances, a shareholder may have the right to seek damages in our name if a duty owed by our directors is breached.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functions and powers of our Board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and managing the business of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representing our company in contracts and deals;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attorneys for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selecting senior management such as managing directors and executive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employee benefits and pension;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convening shareholders’ annual general meetings and reporting its work to shareholders at such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declaring dividends and distributions;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exercising the borrowing powers of our company and mortgaging the property of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the transfer of shares of our company, including the registering of such shares in our register of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exercising any other powers conferred by the shareholders or under our memorandum and articles of association, as amended and restated from time to time.</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is divided into three classes of directors (Class I, Class II and Class III) with staggered terms, with each class serving until the applicable annual general meeting of shareholders for that class, or until their successors are duly elected and qualified. Currently, Dr. Jack Jan and Mr. Yi-An Chu serve as Class I directors; Dr. Ya-Chi (Claudia) Huang and Mr. Hsien-Shu (Jerry) Tsai serve as Class II directors; and Dr. Hong-Jung (Moses) Chen, Mr. Hung-Wen (Howard) Chen, and Mr. Yi-Kuei (Alex) Chen serve as Class III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securities being listed on Nasdaq, we adhere to the rules of such exchange and applicable SEC rules, as applicable to foreign private issuers, in determining whether a director is independent.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“independent director” is defined generally as a person other than an officer or employee of the company or its subsidiaries or any other individual having a relationship which in the opinion of the Board, would interfere with the director’s exercise of independent judgment in carrying out the responsibilities of a director. We have determined that Yi-An (Frank) Chu, Dr. Hong-Jung (Moses) Chen, Hsien-Shu (Jerry) Tsai, Jack Jan and Ya Chi (Claudia) Huang are “independent directors” as defined in the Nasdaq listing standards. Our independent directors will have regularly scheduled meetings at which only independent directors are present.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have the following standing committees: Audit Committee, Compensation Committee and Nominating and Corporate Governance Committee.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committee consists of Mr. Hsien-Shu (Jerry) Tsai, Mr. Yi-An Chu, and Dr. Ya-Chi (Claudia) Huang. Mr. Tsai is the chairperson of our audit committee. Each of the members of our audit committee meets the independence standards under Rule 10A-3 under the Exchange Act and under Nasdaq corporate governance standards. In general and notwithstanding the foregoing, because we are a foreign private issuer, our audit committee is not subject to additional Nasdaq corporate governance requirements applicable to listed U.S. companies, including the requirements to have a minimum of three members and to affirmatively determine that all members are “independent,” using more stringent criteria than those applicable to foreign private issuers. The Board has determined that Hsien-Shu (Jerry) Tsai qualifies as an “audit committee financial expert” within the meaning of the SEC rules. The audit committee oversees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and financial reporting processes and the audits of the financial statements of our company. Our board of directors adopted an audit committee charter setting forth the responsibilities of the audit committee, which are consistent with the Cayman Islands Companies Act, SEC rules and Nasdaq corporate governance rules. The audit committee is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our independent registered public accounting firm and pre-approving all auditing and non-auditing services permitted to be performed by our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with our independent registered public accounting firm any audit problems or difficulties and management’s response;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proposed related party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discussing the annual audited financial statements with management and our independent registered public accounting firm;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adequacy and effectiveness of our internal controls, any actions taken in light of any material control deficiencies and any steps taken to monitor and control major financial risk exposures.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compensation committee consists of Dr. Hong-Jung (Moses) Chen, Mr. Hsien-Shu (Jerry) Tsai, and Mr. Yi-An Chu. Dr. Chen is the chairperson of our compensation committee. Each of the members of our compensation committee meets the independence standards under Nasdaq corporate governance standards. In general and notwithstanding the foregoing, because we are a foreign private issuer, our compensation committee is not subject to additional Nasdaq corporate governance requirements applicable to listed U.S. companies, including the requirements to have a minimum of two members and to affirmatively determine that at least two members are “independent.” Our compensation committee assists the Board in reviewing and approving the compensation structure, including all forms of compensation, relating to our directors and executive officers. Our board of directors adopted a compensation committee charter setting forth the responsibilities of the compensation committee, which are consistent with the Cayman Islands Companies Act, SEC rules and Nasdaq corporate governance rules. The compensation committee is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recommending to the Board for its approval, the compensation for our Chief Executive Officer and other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recommending to the Board for determination with respect to the compensation of our non-employee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periodically and recommending to the board for its approval, any incentive compensation or equity plans;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selecting any compensation consultants, legal counsel or other advisors.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consists of Mr. Chen-Huan (Jack) Jan, Dr. Hong-Jung (Moses) Chen, and Dr. Ya -Chi (Claudia) Huang. Mr. Jan is the chairperson of our nominating and corporate governance committee. Because we are a foreign private issuer, our nominating and corporate governance committee are not subject to additional Nasdaq corporate governance requirements applicable to listed U.S. companies, including the requirements to affirmatively determine that all members are “independent.” The nominating and corporate governance committee will assist the Board in selecting individuals qualified to become our directors and in determining the composition of the Board and its committees. Our board of directors adopted a nominating and corporate governance committee charter setting forth the responsibilities of the nominating and corporate governance committee, which are consistent with the Cayman Islands, SEC rules and Nasdaq corporate governance rules. The nominating and corporate governance committee is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recommending nominees for election or reelection to the Board or for appointment to fill any vacancy;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periodically with the Board its current composition in light of characteristics such as independence, knowledge, skills, experience and diversity;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advising the Board periodically with respect to significant developments corporate governance.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 of Liability and Indemnification of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were adopted upon completion of the Business Combination and provide for indemnification of our officers and directors to the maximum extent permitted by law, including for any liability incurred in their capacities as such, except through their fraud or dishonesty. In addition, we entered into indemnification agreements with each of our executive officers and directors. The indemnification agreements provide the indemnitees with contractual rights to indemnification, and expense advancement and reimbursement, to the fullest extent permitted under Cayman Islands law, subject to certain exceptions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contained in those agreements. We have also purchased a policy of directors’ and officers’ liability insurance that will insure our officers and directors against the cost of defense, settlement or payment of a judgment in some circumstances and will insure us against our obligations to indemnify our officers and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due to severe cash constraints at the time, the Company’s former management terminated all U.S. employees. Following the successful PIPE financing in September 2025 and the appointment of the new management team, the Company initiated an operational restructuring to optimize its workforce. As part of this transition, we significantly reduced our headcount in China and strategically re-allocated key roles to the United States and Taiwan to better support our global clinical operations in a more cost-effective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end of 2025, we operate with a highly streamlined team of approximately 12 to 15 full-time employees, geographically distributed across our headquarters in Foster City, California, our operational hubs in Taipei, Taiwan, and Hangzhou, China. We supplement our internal workforce by actively engaging clinical research organizations (CROs) and independent consultants including scientific, intellectual property, and administrative advisors, to efficiently advance the global Phase 2 SPARTA trial for APL-101 and maintain our corporate functions. None of our employees are represented by a labor union or covered by a collective bargaining agreement. We consider our relationship with our employees to be good.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 Ownership</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sz w:val="20"/>
        </w:rPr>
      </w:pPr>
      <w:r>
        <w:rPr>
          <w:rFonts w:ascii="Times New Roman" w:hAnsi="Times New Roman"/>
          <w:color w:val="000000"/>
          <w:sz w:val="20"/>
        </w:rPr>
        <w:t>For information regarding the share ownership of directors and officers, see Item 7.A. “</w:t>
      </w:r>
      <w:r>
        <w:rPr>
          <w:rFonts w:ascii="Times New Roman" w:hAnsi="Times New Roman"/>
          <w:i/>
          <w:color w:val="000000"/>
          <w:sz w:val="20"/>
        </w:rPr>
        <w:t>Major Shareholders and Related Party Transactions—Major Shareholders</w:t>
      </w:r>
      <w:r>
        <w:rPr>
          <w:rFonts w:ascii="Times New Roman" w:hAnsi="Times New Roman"/>
          <w:color w:val="000000"/>
          <w:sz w:val="20"/>
        </w:rPr>
        <w:t>.” For information as to our equity incentive plans, see Item 6.B. “</w:t>
      </w:r>
      <w:r>
        <w:rPr>
          <w:rFonts w:ascii="Times New Roman" w:hAnsi="Times New Roman"/>
          <w:i/>
          <w:color w:val="000000"/>
          <w:sz w:val="20"/>
        </w:rPr>
        <w:t>Directors, Senior Management and Employees—Compensation of Directors and Executive Officers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Disclosure of a Registrant’s Action to Recover Erroneously Awarded Compensation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5" w:name="item_7_major_shareholders_and_related"/>
      <w:bookmarkEnd w:id="15"/>
      <w:r>
        <w:rPr>
          <w:rFonts w:ascii="Times New Roman" w:hAnsi="Times New Roman"/>
          <w:b/>
          <w:color w:val="000000"/>
          <w:sz w:val="20"/>
        </w:rPr>
        <w:t>Item 7. Major Shareholders and Related Party Transactions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Major Shareholders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with respect to the beneficial ownership of our shares as of April 22, 2026, reflecting the fundamental changes in our capital structure resulting from our September 2025 private placement and the implementation of our employee equity incentive programs,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entity known by us to own beneficially more than 5% of our outstanding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 and executive officers individually;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beneficial ownership of Class A Ordinary Shares is determined in accordance with the SEC rules and generally includes any Class A Ordinary Shares over which a person exercises sole or shared voting or investment power. For purposes of the table below, we deem shares subject to options that are currently exercisable or exercisable within 60 days of March 31, 2026, and restricted share units that shall vest within 60 days of March 31, 2026, to be outstanding and to be beneficially owned by the person holding the options or restricted share units for the purposes of computing the percentage ownership of that person but we do not treat them as outstanding for the purpose of computing the percentage ownership of any other person. The percentage of Apollomics Class A Ordinary Shares beneficially owned is computed on the basis of 2,196,052 Apollomics Class A Ordinary Shares outstanding as of April 22,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shareholders, including the shareholders listed below, have the same voting rights attached to their Class A Ordinary Shares. Unless otherwise noted below, each executive officer and director’s address is 989 E. Hillsdale Blvd., Suite 220 Foster City, CA 94404.</w:t>
      </w:r>
    </w:p>
    <w:p>
      <w:pPr>
        <w:pStyle w:val="TextBody"/>
        <w:bidi w:val="0"/>
        <w:spacing w:before="240" w:after="240"/>
        <w:jc w:val="left"/>
        <w:rPr>
          <w:rFonts w:ascii="Times New Roman" w:hAnsi="Times New Roman"/>
          <w:sz w:val="20"/>
        </w:rPr>
      </w:pPr>
      <w:r>
        <w:rPr>
          <w:rFonts w:ascii="Times New Roman" w:hAnsi="Times New Roman"/>
          <w:color w:val="000000"/>
          <w:sz w:val="20"/>
        </w:rPr>
        <w:t>A description of any material relationship that our principal shareholders have had with us or any of our affiliates since January 1, 2023 is included under Item 7.B. “</w:t>
      </w:r>
      <w:r>
        <w:rPr>
          <w:rFonts w:ascii="Times New Roman" w:hAnsi="Times New Roman"/>
          <w:i/>
          <w:color w:val="000000"/>
          <w:sz w:val="20"/>
        </w:rPr>
        <w:t>Major Shareholders and Related Party Transactions—Related Party Transactions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156"/>
        <w:gridCol w:w="146"/>
        <w:gridCol w:w="146"/>
        <w:gridCol w:w="931"/>
        <w:gridCol w:w="146"/>
        <w:gridCol w:w="246"/>
        <w:gridCol w:w="313"/>
        <w:gridCol w:w="1232"/>
        <w:gridCol w:w="316"/>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Name of Beneficial Owner</w:t>
              <w:br/>
            </w:r>
            <w:r>
              <w:rPr>
                <w:rFonts w:ascii="Times New Roman" w:hAnsi="Times New Roman"/>
                <w:b/>
                <w:i/>
                <w:color w:val="000000"/>
                <w:sz w:val="20"/>
              </w:rPr>
              <w:t>Greater than 5%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Apollomics</w:t>
              <w:br/>
              <w:t>Class A</w:t>
              <w:br/>
              <w:t>Ordinary</w:t>
              <w:br/>
              <w:t>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w:t>
              <w:br/>
              <w:t>Total Voting Power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Hung-Wen (Howard) Chen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Yi-Kuei (Alex) Chen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Hung-Wen (Howard) Chen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Yi-Kuei (Alex) Chen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Peter Lin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Hong-Jung (Moses) Chen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Ya-Chi (Claudia) Huang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Chen-Huan (Jack) Jan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Yi-An Chu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Hsien-Shu Tsai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Executive Officers and Directors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ownership of less than 1%</w:t>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133,334 Class A Ordinary Shares held directly by Mr. Hung-Wen (Howard) Chen; (ii) 763,028 Class A Ordinary Shares held by King Regent Management Limited, for which Mr. Chen is the sole director and shareholder; (iii) 10,000 Class A Ordinary Shares held in a brokerage account from previously vested RSUs; and (iv) 5,000 Class A Ordinary Shares issuable upon the vesting of Restricted Stock Units (RSUs) within 60 days of April 22,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Consists of (i) 100 Class A Ordinary Shares held directly by Mr. Yi-Kuei (Alex) Chen; (ii) 101,248 Class A Ordinary Shares held by Maxpro Investment Co., Ltd, for which Mr. Chen serves as a member of the Board of Directors and shares voting and dispositive power; (iii) 3,823 Class A Ordinary Shares issuable upon the exercise of warrants held by Maxpro Investment Co., Ltd; (iv) 10,000 Class A Ordinary Shares held in a brokerage account from previously vested RSUs; and (v) 5,000 Class A Ordinary Shares issuable upon the vesting of RSUs within 60 days of April 22,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12,318 shares held directly by Mr. Peter Lin; and (ii) 10,000 Class A Ordinary Shares issuable to Mr. Lin upon the vesting of RSUs within 60 days of April 22, 2026.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Consists of (i) 1,982 Class A Ordinary Shares registered directly to Dr. Hong-Jung (Moses) Chen; (ii) 1,138 Class A Ordinary Shares held in a brokerage account from previously vested RSUs; (iii) 4,318 Class A Ordinary Shares issuable upon the exercise of options; (iv) 304 Class A Ordinary Shares issuable upon the exercise of warrants; and (v) 500 Class A Ordinary Shares issuable upon the vesting of RSUs within 60 days of April 22, 2026.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Consists of (i) 500 Class A Ordinary Shares held directly by Dr. Ya-Chi (Claudia) Huang; and (ii) 500 Class A Ordinary Shares issuable to Dr. Huang upon the vesting of RSUs within 60 days of March 31, 2026.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1,000 Class A Ordinary Shares held in a brokerage account by Dr. Chen-Huan (Jack) Jan from previously vested RSUs; and (ii) 500 Class A Ordinary Shares issuable upon the vesting of RSUs within 60 days of April 22,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Consists of (i) 1,000 Class A Ordinary Shares held in a brokerage account by Mr. Yi-An Chu from previously vested RSUs; and (ii) 500 Class A Ordinary Shares issuable upon the vesting of RSUs within 60 days of April 22, 2026.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1,000 Class A Ordinary Shares held in a brokerage account by Mr. Hsien-Shu Tsai from previously vested RSUs; and (ii) 500 Class A Ordinary Shares issuable upon the vesting of RSUs within 60 days of April 22, 2026.</w:t>
      </w:r>
    </w:p>
    <w:p>
      <w:pPr>
        <w:pStyle w:val="TextBody"/>
        <w:bidi w:val="0"/>
        <w:spacing w:before="240" w:after="283"/>
        <w:jc w:val="left"/>
        <w:rPr>
          <w:rFonts w:ascii="Times New Roman" w:hAnsi="Times New Roman"/>
          <w:sz w:val="20"/>
        </w:rPr>
      </w:pPr>
      <w:r>
        <w:rPr>
          <w:rFonts w:ascii="Times New Roman" w:hAnsi="Times New Roman"/>
          <w:color w:val="000000"/>
          <w:sz w:val="20"/>
        </w:rPr>
        <w:t>To our knowledge, other than as disclosed in the table above, our other filings with the SEC and this Annual Report (including with respect to the 2025 Pipe Financing described in greater detail under Item 5 (</w:t>
      </w:r>
      <w:r>
        <w:rPr>
          <w:rFonts w:ascii="Times New Roman" w:hAnsi="Times New Roman"/>
          <w:i/>
          <w:color w:val="000000"/>
          <w:sz w:val="20"/>
        </w:rPr>
        <w:t>Operating and Financial Review and Prospects</w:t>
      </w:r>
      <w:r>
        <w:rPr>
          <w:rFonts w:ascii="Times New Roman" w:hAnsi="Times New Roman"/>
          <w:color w:val="000000"/>
          <w:sz w:val="20"/>
        </w:rPr>
        <w:t>), there has been no significant change in the percentage ownership held by any major shareholder within the past three years. The major shareholders listed above do not have voting rights with respect to their Class A Ordinary Shares that are different from the voting rights of other holders of our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our knowledge, as of April 22, 2026, there were 75 holders of records with mailing addresses in the United Stated which held in the aggregate 36.69% of our Class A Ordinary Shares. One of these holders is Cede &amp; Co., a nominee company for The Depository Trust Company, which held approximately 32.56% of the Company’s outstanding common shares, as of the same date. The beneficial owners of the common shares held by Cede &amp; Co. may include persons who reside outside the United States.</w:t>
      </w:r>
    </w:p>
    <w:p>
      <w:pPr>
        <w:pStyle w:val="TextBody"/>
        <w:bidi w:val="0"/>
        <w:spacing w:before="240" w:after="283"/>
        <w:jc w:val="left"/>
        <w:rPr>
          <w:rFonts w:ascii="Times New Roman" w:hAnsi="Times New Roman"/>
          <w:sz w:val="20"/>
        </w:rPr>
      </w:pPr>
      <w:r>
        <w:rPr>
          <w:rFonts w:ascii="Times New Roman" w:hAnsi="Times New Roman"/>
          <w:color w:val="000000"/>
          <w:sz w:val="20"/>
        </w:rPr>
        <w:t>A description of any material relationship that our principal shareholders have had with us or any of our affiliates since January 1, 2025 is included under Item 7.B. “</w:t>
      </w:r>
      <w:r>
        <w:rPr>
          <w:rFonts w:ascii="Times New Roman" w:hAnsi="Times New Roman"/>
          <w:i/>
          <w:color w:val="000000"/>
          <w:sz w:val="20"/>
        </w:rPr>
        <w:t>Major Shareholders and Related Party Transactions—Related Party Transactions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description of our related party transactions since January 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Agreements with directors and officers</w:t>
      </w:r>
    </w:p>
    <w:p>
      <w:pPr>
        <w:pStyle w:val="TextBody"/>
        <w:bidi w:val="0"/>
        <w:spacing w:before="120" w:after="283"/>
        <w:jc w:val="left"/>
        <w:rPr>
          <w:rFonts w:ascii="Times New Roman" w:hAnsi="Times New Roman"/>
          <w:sz w:val="20"/>
        </w:rPr>
      </w:pPr>
      <w:r>
        <w:rPr>
          <w:rFonts w:ascii="Times New Roman" w:hAnsi="Times New Roman"/>
          <w:i/>
          <w:color w:val="000000"/>
          <w:sz w:val="20"/>
        </w:rPr>
        <w:t>Options and restricted share units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Since our inception, we have granted shares of restricted stock, options to purchase our Class A Ordinary Shares and restricted stock units (RSUs) to our executive officers and directors. We describe our equity incentive plans under Item 6. “</w:t>
      </w:r>
      <w:r>
        <w:rPr>
          <w:rFonts w:ascii="Times New Roman" w:hAnsi="Times New Roman"/>
          <w:i/>
          <w:color w:val="000000"/>
          <w:sz w:val="20"/>
        </w:rPr>
        <w:t>Directors, Senior Management and Employees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Exculpation, indemnification and insurance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permitted to exculpate, indemnify and insure our office holders to the fullest extent permitted under the laws of the Cayman Islands. We have entered into agreements with certain of our office holders, exculpating them from a breach of their duty of care to us to the fullest extent permitted by law and undertaking to indemnify them to the fullest extent permitted by law, subject to certain exceptions, including with respect to liabilities resulting from the Business Combination to the extent that these liabilities are not covered by insurance.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Related party transaction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a written related party transaction policy to set forth the policies and procedures for identifying related party transactions.</w:t>
      </w:r>
    </w:p>
    <w:p>
      <w:pPr>
        <w:pStyle w:val="TextBody"/>
        <w:bidi w:val="0"/>
        <w:spacing w:before="360" w:after="283"/>
        <w:jc w:val="left"/>
        <w:rPr>
          <w:rFonts w:ascii="Times New Roman" w:hAnsi="Times New Roman"/>
          <w:sz w:val="20"/>
        </w:rPr>
      </w:pPr>
      <w:r>
        <w:rPr>
          <w:rFonts w:ascii="Times New Roman" w:hAnsi="Times New Roman"/>
          <w:i/>
          <w:color w:val="000000"/>
          <w:sz w:val="20"/>
        </w:rPr>
        <w:t>Transactions with Our Chairman and Chief Executive Officer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30, 2026, the Company issued a Convertible Promissory Note to Mr. Hung-Wen (Howard) Chen, our Chairman and Chief Executive Officer, in the principal amount of $2.0 million. The note is unsecured, bears no interest, and will automatically convert into equity securities upon the closing of our next qualifying equity financing of at least $10.0 million at a 20% discount to the lowest per-share purchase price paid by investors in such financing. Because Mr. Chen is an executive officer and director of the Company, the issuance of the Note constitutes a related-party transaction, which was independently reviewed and recommended by the Audit Committee and approved by the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Interests of Experts and Counsel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8"/>
      <w:bookmarkEnd w:id="16"/>
      <w:r>
        <w:rPr>
          <w:rFonts w:ascii="Times New Roman" w:hAnsi="Times New Roman"/>
          <w:b/>
          <w:color w:val="000000"/>
          <w:sz w:val="20"/>
        </w:rPr>
        <w:t>Item 8. Financial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Statements and Other Financial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See Item 18. “</w:t>
      </w:r>
      <w:r>
        <w:rPr>
          <w:rFonts w:ascii="Times New Roman" w:hAnsi="Times New Roman"/>
          <w:i/>
          <w:color w:val="000000"/>
          <w:sz w:val="20"/>
        </w:rPr>
        <w:t>Financial Statements</w:t>
      </w:r>
      <w:r>
        <w:rPr>
          <w:rFonts w:ascii="Times New Roman" w:hAnsi="Times New Roman"/>
          <w:color w:val="000000"/>
          <w:sz w:val="20"/>
        </w:rPr>
        <w: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Legal and Arbitration Proceedings</w:t>
      </w:r>
    </w:p>
    <w:p>
      <w:pPr>
        <w:pStyle w:val="TextBody"/>
        <w:bidi w:val="0"/>
        <w:spacing w:before="324" w:after="283"/>
        <w:jc w:val="left"/>
        <w:rPr>
          <w:rFonts w:ascii="Times New Roman" w:hAnsi="Times New Roman"/>
          <w:color w:val="000000"/>
          <w:sz w:val="20"/>
        </w:rPr>
      </w:pPr>
      <w:r>
        <w:rPr>
          <w:rFonts w:ascii="Times New Roman" w:hAnsi="Times New Roman"/>
          <w:color w:val="000000"/>
          <w:sz w:val="20"/>
        </w:rPr>
        <w:t>TWVC Litigation Settlement. As previously disclosed, in December 2022, two minority investors (the "TWVC Entities") requested the redemption of certain preferred shares shortly before our Business Combination. This led to litigation in the Grand Court of the Cayman Islands (Case No. FSD 266 of 2024), where the TWVC Entities sought approximately 13.0 million in redemption proceeds. In November 2025, the Company entered into a definitive settlement agreement, structured as a Confidential Schedule to a Tomlin Order. Under the settlement, the Company agreed to pay a total of $5.0 million in cash to the TWVC Entities (comprising $4,175,000 to TWVC Goldlink and $825,000 to TWVC Panglin), payable in four installments over a 24-month period, plus approximately $0.9 million in associated legal expenses. In exchange, the TWVC Entities withdrew all claims against the Company and confirmed their status as ordinary shareholders, effectively terminating the redemption dispute.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Medpace Litigation. In May 2025, Medpace, Inc. initiated legal action against the Company, alleging breach of contract and seeking payment of allegedly unpaid service fees. The Company has formally denied these allegations and filed an Amended Counterclaim against Medpace, asserting material breaches of contract by Medpace, including deficient performance and the unlawful retention of funds. The Company is seeking declaratory relief and compensatory damages in excess of $2.0 million, representing the recovery of pre-funded expenses unlawfully retained by Medpace, pass-through costs overpaid by the Company, and service fees overcharged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Medpace. The Company intends to continue its vigorous defense; however, an unfavorable outcome requiring us to pay amounts claimed by Medpace or an inability to recover damages under our Counterclaim could have a material adverse effect on our financial position.</w:t>
      </w:r>
    </w:p>
    <w:p>
      <w:pPr>
        <w:pStyle w:val="TextBody"/>
        <w:bidi w:val="0"/>
        <w:spacing w:before="324" w:after="283"/>
        <w:jc w:val="left"/>
        <w:rPr>
          <w:rFonts w:ascii="Times New Roman" w:hAnsi="Times New Roman"/>
          <w:i/>
          <w:color w:val="000000"/>
          <w:sz w:val="20"/>
        </w:rPr>
      </w:pPr>
      <w:r>
        <w:rPr>
          <w:rFonts w:ascii="Times New Roman" w:hAnsi="Times New Roman"/>
          <w:i/>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dividends on our Class A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Changes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disclosed elsewhere in this Annual Report, we have not experienced any significant changes since the date of our audited consolidated financial statements included in this Annual Report. Notable subsequent events in early 2026 include: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Intercompany Management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Company (as Service Recipient) entered into a Management Services Agreement with its subsidiary, Apollomics (Hong Kong) Limited (as Service Provider). Under this agreement, the Service Provider employs and provides specialized management personnel, including certain senior executive officers (such as the CXO), to support the Group’s biotechnology research and development, clinical operations, and corporate strategy.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Filing of Registration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early 2026, the Company filed a Registration Statement on Form S-8 to register additional shares under the 2023 Incentive Award Plan, and a Registration Statement on Form F-3 to register the resale of a portion of the Class A Ordinary Shares issued in connection with the September 2025 PIPE financing. The Registration Statement on Form S-8 became effective upon filing; the Registration Statement on Form F-3 has not yet been declared effective.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pursuant to the 2023 Incentive Award Plan previously approved by the Board, the Company formally executed Restricted Share Unit (RSU) award agreements granting an aggregate of 20,000 RSUs to each of our Chief Executive Officer and Chief Operating Officer, 40,000 RSUs to our Chief Financial Officer, and an aggregate of 10,000 RSUs to the independent directors (2,000 RSUs each).</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Convertible Promissory Note with Chairman and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30, 2026, the Company entered into a Convertible Promissory Note with Mr. Hung-Wen (Howard) Chen, our Chairman and Chief Executive Officer. Pursuant to the note, Mr. Chen provided an unsecured bridge loan to the Company in the principal amount of $2.0 million to support our working capital and ongoing clinical operations. The note bears no interest (0% per annum) and will automatically convert into equity securities of the Company upon the closing of our next equity financing that raises aggregate gross proceeds of not less than $10.0 million. Upon such conversion, the conversion price will be equal to 80% of the lowest per-share purchase price paid by investors in that financing. The transaction was reviewed and recommended by the Audit Committee and subsequently approved by the Board of Directors, with Mr. Chen abstaining from the vote.</w:t>
      </w:r>
    </w:p>
    <w:p>
      <w:pPr>
        <w:pStyle w:val="TextBody"/>
        <w:bidi w:val="0"/>
        <w:spacing w:before="360" w:after="283"/>
        <w:jc w:val="left"/>
        <w:rPr>
          <w:rFonts w:ascii="Times New Roman" w:hAnsi="Times New Roman"/>
          <w:b/>
          <w:color w:val="000000"/>
          <w:sz w:val="20"/>
        </w:rPr>
      </w:pPr>
      <w:bookmarkStart w:id="17" w:name="item_9"/>
      <w:bookmarkEnd w:id="17"/>
      <w:r>
        <w:rPr>
          <w:rFonts w:ascii="Times New Roman" w:hAnsi="Times New Roman"/>
          <w:b/>
          <w:color w:val="000000"/>
          <w:sz w:val="20"/>
        </w:rPr>
        <w:t>Item 9. The Offer and Listing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Offer and Listing Details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Ordinary Shares and Warrants commenced trading on the Nasdaq Capital Market on March 30, 2023 under the trading symbols “APLM” and “APLMW,” respectively. Prior to this, no public market existed for our Class A Ordinary Shares or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Plan of Distribution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Ordinary Shares and Warrants commenced trading on the Nasdaq Capital Market on March 30, 2023 under the trading symbols “APLM” and “APLMW,” respectively. Prior to this, no public market existed for our Class A Ordinary Shares or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August 28, 2025 announcement regarding our prior expectation to wind down operations, trading in our Class A Ordinary Shares and Public Warrants was suspended beginning September 18, 2025, when the Company received a delisting determination letter from Nasdaq asserting that Nasdaq intended to delist the Company’s Class A Ordinary Shares and warrants based on the Nasdaq staff’s then-belief that the Company was a “public shell.” The Company appealed this determination, and based on materials submitted as part of the appeal process, Nasdaq staff determined that the Company was in compliance with Nasdaq’s continued listing requirements. The trading halt was therefore lifted and trading resumed on October 14,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Selling Shareholders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Dilution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Expenses of the Issue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10"/>
      <w:bookmarkEnd w:id="18"/>
      <w:r>
        <w:rPr>
          <w:rFonts w:ascii="Times New Roman" w:hAnsi="Times New Roman"/>
          <w:b/>
          <w:color w:val="000000"/>
          <w:sz w:val="20"/>
        </w:rPr>
        <w:t>Item 10. Additional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Share Capital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Memorandum and Articles of Association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our Articles is attached as Exhibit 1.1 to this Annual Report. Other than as set forth below, the information called for by this Item is set forth in Exhibit 2.1 to this Annual Report and is incorporated by reference herein.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Shareholder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or more shareholders holding at least a majority of the paid up voting share capital of our company present in person or by proxy or if a corporation or other non-natural person by its duly authorized representative or proxy and entitled to vote at that meeting shall form a quorum. In accordance with the Nasdaq corporate governance requirements, we are required to hold an annual general meeting within one year after the end of our fiscal year end. There is no requirement under the Cayman Companies Law for us to hold annual or extraordinary general meetings.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Contracts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each material contract, other than material contracts entered into in the ordinary course of business, to which we are or have been a party, for the two years immediately preceding the date of this Annual Report: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Form of Indemnification Agreement (incorporated by reference to Exhibit 10.13 to the Company’s Registration Statement on Form F-4 (File No. 333-268525) filed with the SEC on February 21, 2023). See Item 6. “</w:t>
      </w:r>
      <w:r>
        <w:rPr>
          <w:rFonts w:ascii="Times New Roman" w:hAnsi="Times New Roman"/>
          <w:i/>
          <w:color w:val="000000"/>
          <w:sz w:val="20"/>
        </w:rPr>
        <w:t>Directors, Senior Management and Employees</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2016 Share Incentive Plan of Apollomics Inc. adopted by the Board on July 28, 2016. See Item 6. “</w:t>
      </w:r>
      <w:r>
        <w:rPr>
          <w:rFonts w:ascii="Times New Roman" w:hAnsi="Times New Roman"/>
          <w:i/>
          <w:color w:val="000000"/>
          <w:sz w:val="20"/>
        </w:rPr>
        <w:t>Directors, Senior Management and Employees</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2023 Share Incentive Plan of Apollomics Inc. adopted by the Board on December 22, 2022. See Item 6. “</w:t>
      </w:r>
      <w:r>
        <w:rPr>
          <w:rFonts w:ascii="Times New Roman" w:hAnsi="Times New Roman"/>
          <w:i/>
          <w:color w:val="000000"/>
          <w:sz w:val="20"/>
        </w:rPr>
        <w:t>Directors, Senior Management and Employees</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Collaboration and License Agreement, effective November 12, 2019, by and between Apollomics Inc. and RevMab Biosciences USA, Inc. (incorporated by reference to Exhibit 10.5 to the Company’s Registration Statement on Form F-4 (File No. 333-268525) filed with the SEC on February 21, 2023). See Item 4. “</w:t>
      </w:r>
      <w:r>
        <w:rPr>
          <w:rFonts w:ascii="Times New Roman" w:hAnsi="Times New Roman"/>
          <w:i/>
          <w:color w:val="000000"/>
          <w:sz w:val="20"/>
        </w:rPr>
        <w:t>Information on the Company</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Data Sublicense Agreement, dated July 28, 2016, by and between Crown Bioscience (Taichang), Inc. and CB Therapeutics Inc. (incorporated by reference to Exhibit 10.6 to the Company’s Registration Statement on Form F-4 (File No. 333-268525) filed with the SEC on February 21, 2023). See Item 4. “</w:t>
      </w:r>
      <w:r>
        <w:rPr>
          <w:rFonts w:ascii="Times New Roman" w:hAnsi="Times New Roman"/>
          <w:i/>
          <w:color w:val="000000"/>
          <w:sz w:val="20"/>
        </w:rPr>
        <w:t>Information on the Company</w:t>
      </w:r>
      <w:r>
        <w:rPr>
          <w:color w:val="000000"/>
        </w:rPr>
        <w:t xml:space="preserve">” </w:t>
      </w:r>
      <w:r>
        <w:rPr>
          <w:rFonts w:ascii="Times New Roman" w:hAnsi="Times New Roman"/>
          <w:color w:val="000000"/>
          <w:sz w:val="20"/>
        </w:rPr>
        <w:t>for more information about this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Tri-Party Agreement, dated on or around May 10, 2018, by and among Crown Bioscience (Taichang), Inc., CB Therapeutics Inc. and Genor Biopharma Co., Ltd. (incorporated by reference to Exhibit 10.8 to the Company’s Registration Statement on Form F-4 (File No. 333-268525) filed with the SEC on February 21, 2023). See Item 4. “</w:t>
      </w:r>
      <w:r>
        <w:rPr>
          <w:rFonts w:ascii="Times New Roman" w:hAnsi="Times New Roman"/>
          <w:i/>
          <w:color w:val="000000"/>
          <w:sz w:val="20"/>
        </w:rPr>
        <w:t>Information on the Company</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Technology Transfer and Co-Development Agreement, dated January 25, 2021, by and between Apollomics (Hong Kong), Limited, Nuance Biotech Inc., Nuance Biotech (Shenzhen) Co., Ltd. and Nuance Biotech (Nantong) Co., Ltd. (incorporated by reference to Exhibit 10.9 to the Company’s Registration Statement on Form F-4 (File No. 333-268525) filed with the SEC on February 21, 2023). (Terminated effective January 2025). See Item 4. “</w:t>
      </w:r>
      <w:r>
        <w:rPr>
          <w:rFonts w:ascii="Times New Roman" w:hAnsi="Times New Roman"/>
          <w:i/>
          <w:color w:val="000000"/>
          <w:sz w:val="20"/>
        </w:rPr>
        <w:t>Information on the Company</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Amended and Restated License and Co-Development Agreement, dated January 25, 2022, by and between TYG oncology Ltd. and Apollomics (Hong Kong) Limited (incorporated by reference to Exhibit 10.10 to the Company’s Registration Statement on Form F-4 (File No. 333-268525) filed with the SEC on February 21, 2023). (Terminated effective January 2025). See Item 4. “</w:t>
      </w:r>
      <w:r>
        <w:rPr>
          <w:rFonts w:ascii="Times New Roman" w:hAnsi="Times New Roman"/>
          <w:i/>
          <w:color w:val="000000"/>
          <w:sz w:val="20"/>
        </w:rPr>
        <w:t>Information on the Company</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Collaboration Agreement, effective December 15, 2022, by and between Apollomics and Beijing Pearl Biotechnology Co., Ltd. (incorporated by reference to Exhibit 10.15 to the Company’s Registration Statement on Form F-4 (File No. 333-268525) filed with the SEC on February 21, 2023). See Item 4. “</w:t>
      </w:r>
      <w:r>
        <w:rPr>
          <w:rFonts w:ascii="Times New Roman" w:hAnsi="Times New Roman"/>
          <w:i/>
          <w:color w:val="000000"/>
          <w:sz w:val="20"/>
        </w:rPr>
        <w:t>Information on the Company</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Second Amendment to Office Lease between Apollomics and Hudson Metro Center LLC (see Exhibit 4.11 incorporated by reference). See Item 4.B. “</w:t>
      </w:r>
      <w:r>
        <w:rPr>
          <w:rFonts w:ascii="Times New Roman" w:hAnsi="Times New Roman"/>
          <w:i/>
          <w:color w:val="000000"/>
          <w:sz w:val="20"/>
        </w:rPr>
        <w:t>Business Overview—Facilities</w:t>
      </w:r>
      <w:r>
        <w:rPr>
          <w:color w:val="000000"/>
        </w:rPr>
        <w:t xml:space="preserve">” </w:t>
      </w:r>
      <w:r>
        <w:rPr>
          <w:rFonts w:ascii="Times New Roman" w:hAnsi="Times New Roman"/>
          <w:color w:val="000000"/>
          <w:sz w:val="20"/>
        </w:rPr>
        <w:t xml:space="preserve">for more information about this agreement.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Collaboration and License Agreement, dated March 31, 2025, by and between Apollomics Inc. and LaunXP International Co., Ltd. (incorporated by reference to Exhibit 4.17 to this Annual Report on Form 20-F). See Item 4. “</w:t>
      </w:r>
      <w:r>
        <w:rPr>
          <w:rFonts w:ascii="Times New Roman" w:hAnsi="Times New Roman"/>
          <w:i/>
          <w:color w:val="000000"/>
          <w:sz w:val="20"/>
        </w:rPr>
        <w:t>Information on the Company</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Form of Subscription Agreement, dated as of September 2, 2025, by and between Apollomics Inc. and the Purchasers party thereto (incorporated by reference to Exhibit 10.1 to the Company’s Form 6-K (File No. 001-41670) filed with the SEC on September 3, 2025). See Item 5. “</w:t>
      </w:r>
      <w:r>
        <w:rPr>
          <w:rFonts w:ascii="Times New Roman" w:hAnsi="Times New Roman"/>
          <w:i/>
          <w:color w:val="000000"/>
          <w:sz w:val="20"/>
        </w:rPr>
        <w:t>Operating and Financial Review and Prospects</w:t>
      </w:r>
      <w:r>
        <w:rPr>
          <w:color w:val="000000"/>
        </w:rPr>
        <w:t xml:space="preserve">” </w:t>
      </w:r>
      <w:r>
        <w:rPr>
          <w:rFonts w:ascii="Times New Roman" w:hAnsi="Times New Roman"/>
          <w:color w:val="000000"/>
          <w:sz w:val="20"/>
        </w:rPr>
        <w:t>for more information about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Development and License Agreement, effective January 31, 2021, by and between Edison Oncology Holding Corp. and Apollomics Inc. (incorporated by reference to Exhibit 10.7 to the Company’s Registration Statement on Form F-4 (File No. 333-268525) filed with the SEC on February 21, 2023), as amended by Amendment 1 to License Agreement dated August 11, 2023. (Terminated effective December 11, 2025). See Item 4. “</w:t>
      </w:r>
      <w:r>
        <w:rPr>
          <w:rFonts w:ascii="Times New Roman" w:hAnsi="Times New Roman"/>
          <w:i/>
          <w:color w:val="000000"/>
          <w:sz w:val="20"/>
        </w:rPr>
        <w:t>Information on the Company</w:t>
      </w:r>
      <w:r>
        <w:rPr>
          <w:color w:val="000000"/>
        </w:rPr>
        <w:t xml:space="preserve">” </w:t>
      </w:r>
      <w:r>
        <w:rPr>
          <w:rFonts w:ascii="Times New Roman" w:hAnsi="Times New Roman"/>
          <w:color w:val="000000"/>
          <w:sz w:val="20"/>
        </w:rPr>
        <w:t>for more information about the termination of this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Form Settlement Agreement (Confidential Schedule to Tomlin Order), dated November 19, 2025, by and among Apollomics Inc., TWVC Goldlink Partners Investment Limited, and TWVC Panglin Group Investment Limited (filed as Exhibit 4.21 to this Annual Report on Form 20-F). See Item 8.A. “</w:t>
      </w:r>
      <w:r>
        <w:rPr>
          <w:rFonts w:ascii="Times New Roman" w:hAnsi="Times New Roman"/>
          <w:i/>
          <w:color w:val="000000"/>
          <w:sz w:val="20"/>
        </w:rPr>
        <w:t>Consolidated Statements and Other Financial Information—Legal and Arbitration Proceedings</w:t>
      </w:r>
      <w:r>
        <w:rPr>
          <w:color w:val="000000"/>
        </w:rPr>
        <w:t xml:space="preserve">” </w:t>
      </w:r>
      <w:r>
        <w:rPr>
          <w:rFonts w:ascii="Times New Roman" w:hAnsi="Times New Roman"/>
          <w:color w:val="000000"/>
          <w:sz w:val="20"/>
        </w:rPr>
        <w:t xml:space="preserve">for more information about this agreement.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Convertible Promissory Note, dated March 30, 2026, issued by Apollomics Inc. to Hung-Wen (Howard) Chen (incorporated by reference to Exhibit 10.1 to the Company’s Form 6-K (File No. 001-41670) filed with the SEC on April 1, 2026). See Item 7.B. “</w:t>
      </w:r>
      <w:r>
        <w:rPr>
          <w:rFonts w:ascii="Times New Roman" w:hAnsi="Times New Roman"/>
          <w:i/>
          <w:color w:val="000000"/>
          <w:sz w:val="20"/>
        </w:rPr>
        <w:t>Major Shareholders and Related Party Transactions—Related Party Transactions</w:t>
      </w:r>
      <w:r>
        <w:rPr>
          <w:color w:val="000000"/>
        </w:rPr>
        <w:t xml:space="preserve">” </w:t>
      </w:r>
      <w:r>
        <w:rPr>
          <w:rFonts w:ascii="Times New Roman" w:hAnsi="Times New Roman"/>
          <w:color w:val="000000"/>
          <w:sz w:val="20"/>
        </w:rPr>
        <w:t xml:space="preserve">for more information about this agreement.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Exchange Controls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currently no currency control restrictions imposed by the Cayman Islands, our home country, on the import or export of capital or remittances of dividends on our Class A Ordinary Shares, proceeds from the sale of the Class A Ordinary Shares or interest or other payments to non-resident shareholders.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Taxation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Taxation and government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description is not intended to constitute a complete analysis of all tax consequences relating to the acquisition, ownership and disposition of our Class A Ordinary Shares and Warrants. You should consult your own tax advisor concerning the tax consequences of your particular situation, as well as any tax consequences that may arise under the laws of any state, local, foreign or other taxing jurisdiction.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Cayman Islands Taxation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discussion on certain Cayman Islands income tax consequences of an investment in shares of a Cayman Islands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On this basis, the following discussion is the opinion of Harney Westwood &amp; Riegels, counsel as to the Cayman Islands law.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Under Existing Cayman Islands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of dividends and capital in respect of shares will not be subject to taxation in the Cayman Islands and no withholding will be required on the payment of interest and principal or a dividend or capital to any holder of shares, as the case may be, nor will gains derived from the disposal of our Class A Ordinary Shares be subject to Cayman Islands income or corporation tax. The Cayman Islands currently has no taxes on individuals or corporations based upon profits, income, gains or appreciations and there is no taxation in the nature of inheritance tax or estate duty.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stamp duty is payable in the Cayman Islands on transfer of shares of Cayman Islands companies save for those which hold interests in land in the Cayman Islands. However, an instrument of transfer in respect of our securities, including our warrants, is stampable if executed in or brought into the Cayman Islands.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Apollomics has been incorporated under the laws of the Cayman Islands as an exempted company with limited liability and, as such, has applied for and obtained an undertaking from the Financial Secretary of the Cayman Islands in the following 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Tax Concessions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Undertaking as to Tax Concessions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Tax Concessions Law the following undertaking is hereby given to Apollomics Inc.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that no Law which is hereafter enacted in the Islands imposing any tax to be levied on profits, income, gains or appreciations shall apply to the Company or its operations;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in addition, that no tax to be levied on profits, income, gains or appreciations or which is in the nature of estate duty or inheritance tax shall be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on or in respect of the shares, debentures or other obligations of the Company;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by way of the withholding in whole or part, of any relevant payment as defined in the Tax Concessions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concessions shall be for a period of twenty years from the date of the undertaking.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Cayman Islands enacted the International Tax Co-operation (Economic Substance) Act (As Revised) together with the Guidance Notes published by the Cayman Islands Tax Information Authority from time to time. If a company is considered to be a “relevant entity” and is conducting one or more of the nine “relevant activities”, then such company will be required to comply with the economic substance requirements in relation to the relevant activity from July 1, 2019. All companies whether a relevant entity or not is required to file an annual report with the Registrar of Companies of the Cayman Islands confirming whether or not it is carrying on any relevant activities.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Enact of the One Big Beautiful Bill Act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significantly amending U.S. federal tax law, including changes to international tax provisions, expensing of research and experimental expenditures, depreciation, and interest deduction rules. The company does not expect the OBBBA to have a material impact on its effective tax rate.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Certain U.S. Federal Income Tax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is a summary of certain material U.S. federal income tax considerations to U.S. Holders (as defined below) of the ownership and disposition of our Class A Ordinary Shares and Warrants (other than the Penny Warrants). This discussion applies only to U.S. Holders that hold the Class A Ordinary Shares and Warrants, as the case may be, as “capital assets” within the meaning of Section 1221 of the U.S. Internal Revenue Code of 1986, as amended (the “Code”) (generally, property held for investment). The following does not purport to be a complete analysis of all potential tax effects arising in connection with the ownership and disposition of our Class A Ordinary Shares and Warrants. The effects of U.S. federal tax laws other than U.S. federal income tax laws, such as estate and gift tax laws, and U.S. state, local and non-U.S. tax laws are not discussed.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does not address all U.S. federal income tax considerations that may be relevant to any particular investor’s particular circumstances, including the impact of the Medicare contribution tax on net investment income and the alternative minimum tax, or to investors subject to special rules under U.S. federal income tax laws, including, without limitation: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banks, insurance companies, and certain other financial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regulated investment companies and real estate investment trusts;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brokers, dealers or traders in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traders in securities that elect to mark to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tax-exempt organizations or governmental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expatriates and former citizens or long-term residents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holding Class A Ordinary Shares and/or Warrants, as the case may be, as part of a hedge, straddle, constructive sale, or other risk reduction strategy or as part of a conversion transaction or other integrated or similar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subject to special tax accounting rules as a result of any item of gross income with respect to Class A Ordinary Shares and/or Warrants, as the case may be, being taken into account in an applicable financial statement;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specifically provided below, persons that actually or constructively own 5% or more (by vote or value) of our shares;</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controlled foreign corporations,” “passive foreign investment companies,” and corporations that accumulate earnings to avoid U.S. federal income tax;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corporations, partnerships or other entities or arrangements treated as partnerships or other flow-through entities for U.S. federal income tax purposes (and investors therein);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Holders having a functional currency other than the U.S. dollar;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who hold or received Class A Ordinary Shares or Warrants, as the case may be, pursuant to the exercise of any employee share option or otherwise as compensation;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tax-qualified retirement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entity or arrangement treated as a partnership or other pass-through entity for U.S. federal income tax purposes is a beneficial owner of our Class A Ordinary Shares and/or Warrants, the tax treatment of a partner, member or other beneficial owner of such partnership or pass-through entity will depend on the status of such partner, member, or other beneficial owner, the activities of the partnership or other pass-through entity and certain determinations made at the owner level. Accordingly, partnerships and other pass-through entities and the partners, members, and other beneficial owners of such partnerships and other pass-through entities should consult their tax advisors regarding the U.S. federal income tax consequences to them of the ownership and disposition of our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is based on the Code, U.S. Treasury regulations promulgated thereunder, judicial decisions, and published rulings and administrative pronouncements of the U.S. Internal Revenue Service (the “IRS”), in each case in effect as of the date hereof. These authorities are subject to change or to differing interpretations.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change or differing interpretation may be applied retroactively or otherwise have retroactive effect in a manner that could adversely affect the tax consequences discussed below. We have not sought, and we do not intend to seek, any rulings from the IRS regarding the matters discussed below. There can be no assurance that the IRS will not take, or a court will not sustain, a position contrary to any of the tax considerations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IS ONLY A SUMMARY OF CERTAIN U.S. FEDERAL INCOME TAX CONSIDERATIONS ASSOCIATED WITH THE OWNERSHIP AND DISPOSITION OF OUR CLASS A ORDINARY SHARES AND WARRANTS. EACH INVESTOR IN THE CLASS A ORDINARY SHARES OR WARRANTS IS URGED TO CONSULT ITS OWN TAX ADVISOR WITH RESPECT TO THE PARTICULAR TAX CONSEQUENCES TO SUCH INVESTOR OF THE OWNERSHIP AND DISPOSITION OF THE CLASS A ORDINARY SHARES OR WARRANTS, INCLUDING THE APPLICABILITY AND EFFECT OF ANY U.S. FEDERAL, STATE AND LOCAL, AND NON-U.S. TAX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federal income tax consequences to a U.S. Holder (as defined below) of owning and disposing of Penny Warrants will depend on the treatment of such Penny Warrants for U.S. federal income tax purposes. Holders of Penny Warrants are urged to consult their own tax advisors regarding the tax consequences to them of an investment in Penny Warrants (including the U.S. federal income tax classification of such Penny Warrants). References to Warrants in the balance of this discussion in all cases exclude the Penny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this discussion, a “U.S. Holder” is a beneficial owner of our Class A Ordinary Shares or Warrants, as the case may be, who or that is, for U.S. federal income tax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individual who is a U.S. citizen or resident of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corporation created or organized in or under the laws of the United States, any state thereof or the District of Columbia;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estate the income of which is includible in gross income for U.S. federal income tax purposes regardless of its source;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U.S. Treasury regulations to be treated as a U.S. person.</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Dividends and Other Distributions on Our Class A Ordinary Shares</w:t>
      </w:r>
    </w:p>
    <w:p>
      <w:pPr>
        <w:pStyle w:val="TextBody"/>
        <w:bidi w:val="0"/>
        <w:spacing w:before="120" w:after="283"/>
        <w:jc w:val="left"/>
        <w:rPr>
          <w:rFonts w:ascii="Times New Roman" w:hAnsi="Times New Roman"/>
          <w:sz w:val="20"/>
        </w:rPr>
      </w:pPr>
      <w:r>
        <w:rPr>
          <w:rFonts w:ascii="Times New Roman" w:hAnsi="Times New Roman"/>
          <w:color w:val="000000"/>
          <w:sz w:val="20"/>
        </w:rPr>
        <w:t>Subject to the PFIC rules discussed below under the heading “</w:t>
      </w:r>
      <w:r>
        <w:rPr>
          <w:rFonts w:ascii="Times New Roman" w:hAnsi="Times New Roman"/>
          <w:i/>
          <w:color w:val="000000"/>
          <w:sz w:val="20"/>
        </w:rPr>
        <w:t>Passive Foreign Investment Company Rules,</w:t>
      </w:r>
      <w:r>
        <w:rPr>
          <w:rFonts w:ascii="Times New Roman" w:hAnsi="Times New Roman"/>
          <w:color w:val="000000"/>
          <w:sz w:val="20"/>
        </w:rPr>
        <w:t>” the gross amount of distributions, i.e., before reduction for withholding taxes, if any, (other than certain distributions of our shares or rights to acquire our shares) on our Class A Ordinary Shares will generally be taxable as a dividend for U.S. federal income tax purposes to the extent paid from our current or accumulated earnings and profits, as determined under U.S. federal income tax principles. Such dividends generally will be includable in a U.S. Holder’s income in the year actually or constructively received by such U.S. Holder. Distributions in excess of our current and accumulated earnings and profits will constitute a return of capital that will be applied against and reduce (but not below zero) the U.S. Holder’s adjusted tax basis in its Class A Ordinary Shares. Any remaining excess will be treated as gain realized on the sale or other disposition of the Class A Ordinary Shares and will be treated as described below under the heading “</w:t>
      </w:r>
      <w:r>
        <w:rPr>
          <w:rFonts w:ascii="Times New Roman" w:hAnsi="Times New Roman"/>
          <w:i/>
          <w:color w:val="000000"/>
          <w:sz w:val="20"/>
        </w:rPr>
        <w:t>Gain or Loss on Sale, Taxable Exchange or Other Taxable Disposition of Our Class A Ordinary Shares and Warrants.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treated as dividends that we pay to a U.S. Holder that is treated as a corporation for U.S. federal income tax purposes generally will be taxed at regular rates and will not qualify for the dividends received deduction generally allowed to domestic corporations in respect of dividends received from other domestic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our Class A Ordinary Shares are readily tradable on an established securities market in the United States or we are eligible for benefits under an applicable tax treaty with the United States, and, in each case, we are not treated as a PFIC with respect to such U.S. Holder in the taxable year in which the dividend was paid or in the preceding year and provided certain holding period requirements are met. U.S. Holders should consult their tax advisors regarding the availability of such lower rate for any dividends paid with respect to our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amount treated as dividend income generally will be treated as foreign-source dividend income and generally will constitute “passive” category income for computing the foreign tax credit allowable to a U.S. Holder for U.S. federal income tax purposes.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Gain or Loss on Sale, Taxable Exchange or Other Taxable Disposition of Our Class A Ordinary Shares and Warrants</w:t>
      </w:r>
    </w:p>
    <w:p>
      <w:pPr>
        <w:pStyle w:val="TextBody"/>
        <w:bidi w:val="0"/>
        <w:spacing w:before="120" w:after="283"/>
        <w:jc w:val="left"/>
        <w:rPr>
          <w:rFonts w:ascii="Times New Roman" w:hAnsi="Times New Roman"/>
          <w:sz w:val="20"/>
        </w:rPr>
      </w:pPr>
      <w:r>
        <w:rPr>
          <w:rFonts w:ascii="Times New Roman" w:hAnsi="Times New Roman"/>
          <w:color w:val="000000"/>
          <w:sz w:val="20"/>
        </w:rPr>
        <w:t>Subject to the PFIC rules discussed below under the heading “</w:t>
      </w:r>
      <w:r>
        <w:rPr>
          <w:rFonts w:ascii="Times New Roman" w:hAnsi="Times New Roman"/>
          <w:i/>
          <w:color w:val="000000"/>
          <w:sz w:val="20"/>
        </w:rPr>
        <w:t>Passive Foreign Investment Company Rules,</w:t>
      </w:r>
      <w:r>
        <w:rPr>
          <w:rFonts w:ascii="Times New Roman" w:hAnsi="Times New Roman"/>
          <w:color w:val="000000"/>
          <w:sz w:val="20"/>
        </w:rPr>
        <w:t>” upon any sale, taxable exchange or other taxable disposition of our Class A Ordinary Shares or Warrants, a U.S. Holder generally will recognize gain or loss in an amount equal to the difference between (i) the amount realized (i.e., sum of the amount of cash and the fair market value of any other property received in such sale, taxable exchange or other taxable disposition, in each case before reduction for withholding taxes, if any) and (ii) the U.S. Holder’s adjusted tax basis in such Class A Ordinary Shares or Warrants. Any such gain or loss generally will be capital gain or loss and will be long-term capital gain or loss if the U.S. Holder’s holding period for such Class A Ordinary Shares or Warrants exceeds one year. Long-term capital gain realized by a non-corporate U.S. Holder generally will be taxable at a reduced rate. The deductibility of capital losses is subject to limitations. This gain or loss generally will be treated as U.S. source gain or loss. U.S. Holders who acquired Class A Ordinary Shares pursuant to the exercise of warrants are urged to consult their own tax advisors regarding their tax bases and holding periods in such Class A Ordinary Shares. However, for U.S. Holders who acquired Class A Ordinary Shares pursuant to the exercise of warrants that are treated as such for U.S. federal income tax purposes, the impact of such exercise on a U.S. Holder’s holding period or tax basis of such Class A Ordinary Shares would generally be consistent with the discussion under “</w:t>
      </w:r>
      <w:r>
        <w:rPr>
          <w:rFonts w:ascii="Times New Roman" w:hAnsi="Times New Roman"/>
          <w:i/>
          <w:color w:val="000000"/>
          <w:sz w:val="20"/>
        </w:rPr>
        <w:t>Exercise, Lapse or Redemption of a Warrant</w:t>
      </w:r>
      <w:r>
        <w:rPr>
          <w:rFonts w:ascii="Times New Roman" w:hAnsi="Times New Roman"/>
          <w:color w:val="000000"/>
          <w:sz w:val="20"/>
        </w:rPr>
        <w:t>” below.</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Exercise, Lapse or Redemption of a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U.S. Holder generally will not recognize gain or loss upon the acquisition of a Class A Ordinary Share on the exercise of a warrant for cash. A U.S. Holder’s tax basis in a Class A Ordinary Share received upon exercise of the warrant generally should be an amount equal to the sum of the U.S. Holder’s tax basis in the warrant exchanged therefor and the exercise price. The U.S. Holder’s holding period for the Class A Ordinary Share received upon exercise of the warrant will begin on the date following the date of exercise (or possibly the date of exercise) of the warrant and will not include the holding period during which the U.S. Holder held the warrant. If a warrant is allowed to lapse unexercised, a U.S. Holder generally will recognize a capital loss equal to such holder’s tax basis in the warrant.</w:t>
      </w:r>
    </w:p>
    <w:p>
      <w:pPr>
        <w:pStyle w:val="TextBody"/>
        <w:bidi w:val="0"/>
        <w:spacing w:before="240" w:after="283"/>
        <w:jc w:val="left"/>
        <w:rPr>
          <w:rFonts w:ascii="Times New Roman" w:hAnsi="Times New Roman"/>
          <w:sz w:val="20"/>
        </w:rPr>
      </w:pPr>
      <w:r>
        <w:rPr>
          <w:rFonts w:ascii="Times New Roman" w:hAnsi="Times New Roman"/>
          <w:color w:val="000000"/>
          <w:sz w:val="20"/>
        </w:rPr>
        <w:t>The tax consequences of a cashless exercise of a warrant are not clear under current tax law. Subject to the PFIC rules discussed below under “</w:t>
      </w:r>
      <w:r>
        <w:rPr>
          <w:rFonts w:ascii="Times New Roman" w:hAnsi="Times New Roman"/>
          <w:i/>
          <w:color w:val="000000"/>
          <w:sz w:val="20"/>
        </w:rPr>
        <w:t>Passive Foreign Investment Company Rules,</w:t>
      </w:r>
      <w:r>
        <w:rPr>
          <w:rFonts w:ascii="Times New Roman" w:hAnsi="Times New Roman"/>
          <w:color w:val="000000"/>
          <w:sz w:val="20"/>
        </w:rPr>
        <w:t xml:space="preserve">” a cashless exercise may not be taxable, either because the exercise is not a realization event or because the exercise is treated as a recapitalization for U.S. federal income tax purposes. In either situation, a U.S. Holder’s basis in Class A Ordinary Shares received would equal the holder’s basis in the warrants exercised therefor. If the cashless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exercise were treated as not being a realization event, it is unclear whether a U.S. Holder’s holding period in the Class A Ordinary Shares would be treated as commencing on the date following the date of exercise or on the date of exercise of the warrants; in either case, the holding period would not include the period during which the U.S. Holder held the warrants. If the cashless exercise were treated as a recapitalization, the holding period of the Class A Ordinary Shares would include the holding period of the warrants exercised therefor.</w:t>
      </w:r>
    </w:p>
    <w:p>
      <w:pPr>
        <w:pStyle w:val="TextBody"/>
        <w:bidi w:val="0"/>
        <w:spacing w:before="240" w:after="283"/>
        <w:jc w:val="left"/>
        <w:rPr>
          <w:rFonts w:ascii="Times New Roman" w:hAnsi="Times New Roman"/>
          <w:sz w:val="20"/>
        </w:rPr>
      </w:pPr>
      <w:r>
        <w:rPr>
          <w:rFonts w:ascii="Times New Roman" w:hAnsi="Times New Roman"/>
          <w:color w:val="000000"/>
          <w:sz w:val="20"/>
        </w:rPr>
        <w:t>It is also possible that a cashless exercise could be treated in part as a taxable exchange in which gain or loss would be recognized. In such event, a U.S. Holder could be deemed to have surrendered a number of warrants equal to the number of Class A Ordinary Shares having a value equal to the exercise price for the total number of warrants to be exercised. In such case, subject to the PFIC rules discussed below under “</w:t>
      </w:r>
      <w:r>
        <w:rPr>
          <w:rFonts w:ascii="Times New Roman" w:hAnsi="Times New Roman"/>
          <w:i/>
          <w:color w:val="000000"/>
          <w:sz w:val="20"/>
        </w:rPr>
        <w:t>Passive Foreign Investment Company Rules,</w:t>
      </w:r>
      <w:r>
        <w:rPr>
          <w:rFonts w:ascii="Times New Roman" w:hAnsi="Times New Roman"/>
          <w:color w:val="000000"/>
          <w:sz w:val="20"/>
        </w:rPr>
        <w:t>” the U.S. Holder would recognize capital gain or loss with respect to the warrants deemed surrendered in an amount equal to the difference between the fair market value of the Class A Ordinary Shares that would have been received in a regular exercise of the warrants deemed surrendered and the U.S. Holder’s tax basis in the warrants deemed surrendered. In this case, a U.S. Holder’s aggregate tax basis in the Class A Ordinary Shares received would equal the sum of the U.S. Holder’s tax basis in the warrants deemed exercised and the aggregate exercise price of such warrants. It is unclear whether a U.S. Holder’s holding period for the Class A Ordinary Shares would commence on the date following the date of exercise or on the date of exercise of the warrants; in either case, the holding period would not include the period during which the U.S. Holder held the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absence of authority on the U.S. federal income tax treatment of a cashless exercise of warrants, there can be no assurances which, if any, of the alternative tax consequences and holding periods described above would be adopted by the IRS or a court of law. Accordingly, U.S. Holders should consult their tax advisors regarding the tax consequences of a cashless exercise of warrants.</w:t>
      </w:r>
    </w:p>
    <w:p>
      <w:pPr>
        <w:pStyle w:val="TextBody"/>
        <w:bidi w:val="0"/>
        <w:spacing w:before="240" w:after="283"/>
        <w:jc w:val="left"/>
        <w:rPr>
          <w:rFonts w:ascii="Times New Roman" w:hAnsi="Times New Roman"/>
          <w:sz w:val="20"/>
        </w:rPr>
      </w:pPr>
      <w:r>
        <w:rPr>
          <w:rFonts w:ascii="Times New Roman" w:hAnsi="Times New Roman"/>
          <w:color w:val="000000"/>
          <w:sz w:val="20"/>
        </w:rPr>
        <w:t>Subject to the PFIC rules described below under “</w:t>
      </w:r>
      <w:r>
        <w:rPr>
          <w:rFonts w:ascii="Times New Roman" w:hAnsi="Times New Roman"/>
          <w:i/>
          <w:color w:val="000000"/>
          <w:sz w:val="20"/>
        </w:rPr>
        <w:t>Passive Foreign Investment Company Rules,</w:t>
      </w:r>
      <w:r>
        <w:rPr>
          <w:rFonts w:ascii="Times New Roman" w:hAnsi="Times New Roman"/>
          <w:color w:val="000000"/>
          <w:sz w:val="20"/>
        </w:rPr>
        <w:t>” if we redeem our warrants for cash pursuant to the redemption provisions in the warrant agreement or if we purchase our warrants in an open market transaction, such redemption or purchase generally will be treated as a taxable disposition to the U.S. Holder, taxed as described above under “</w:t>
      </w:r>
      <w:r>
        <w:rPr>
          <w:rFonts w:ascii="Times New Roman" w:hAnsi="Times New Roman"/>
          <w:i/>
          <w:color w:val="000000"/>
          <w:sz w:val="20"/>
        </w:rPr>
        <w:t>Gain or Loss on Sale, Taxable Exchange or Other Taxable Disposition of Our Class A Ordinary Shares and Warrants.</w:t>
      </w:r>
      <w:r>
        <w:rPr>
          <w:rFonts w:ascii="Times New Roman" w:hAnsi="Times New Roman"/>
          <w:color w:val="000000"/>
          <w:sz w:val="20"/>
        </w:rPr>
        <w:t>”</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Possible Constructive Distributions</w:t>
      </w:r>
    </w:p>
    <w:p>
      <w:pPr>
        <w:pStyle w:val="TextBody"/>
        <w:bidi w:val="0"/>
        <w:spacing w:before="120" w:after="283"/>
        <w:jc w:val="left"/>
        <w:rPr>
          <w:rFonts w:ascii="Times New Roman" w:hAnsi="Times New Roman"/>
          <w:sz w:val="20"/>
        </w:rPr>
      </w:pPr>
      <w:r>
        <w:rPr>
          <w:rFonts w:ascii="Times New Roman" w:hAnsi="Times New Roman"/>
          <w:color w:val="000000"/>
          <w:sz w:val="20"/>
        </w:rPr>
        <w:t>The terms of each warrant provide for an adjustment of Class A Ordinary Shares for which the warrant may be exercised or to the exercise price of the warrant in certain events. An adjustment which has the effect of preventing dilution generally is not taxable. A U.S. Holder of a warrant would, however, be treated as receiving a constructive distribution from us if, for example, the adjustment increases the holder’s proportionate interest in our earnings and profits (e.g., through an increase in the number of Class A Ordinary Shares that would be obtained upon exercise of such warrant) as a result of a distribution of cash or other property to the holders of the Class A Ordinary Shares which is taxable to the U.S. Holders of such Class A Ordinary Shares as described under “</w:t>
      </w:r>
      <w:r>
        <w:rPr>
          <w:rFonts w:ascii="Times New Roman" w:hAnsi="Times New Roman"/>
          <w:i/>
          <w:color w:val="000000"/>
          <w:sz w:val="20"/>
        </w:rPr>
        <w:t>Dividends and Other Distributions on Our Class A Ordinary Shares</w:t>
      </w:r>
      <w:r>
        <w:rPr>
          <w:rFonts w:ascii="Times New Roman" w:hAnsi="Times New Roman"/>
          <w:color w:val="000000"/>
          <w:sz w:val="20"/>
        </w:rPr>
        <w:t>” above. Such constructive distribution would be subject to tax as described under that section in the same manner as if the U.S. Holder of such warrant received a cash distribution from us equal to the fair market value of such increased interest. The rules governing constructive distributions as a result of certain adjustments with respect to a warrant are complex, and U.S. Holders are urged to consult their tax advisors on the tax consequences any such constructive distribution with respect to a warrant.</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Passive Foreign Investment Company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treatment of U.S. Holders of Class A Ordinary Shares and Warrants could be materially different from that described above if we are treated as a PFIC for U.S. federal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believe that we were a PFIC for U.S. federal income tax purposes for our most recently ended taxable year and we do not expect to become a PFIC in the foreseeable future. However, whether we are treated as a PFIC for U.S. federal income tax purposes for any taxable year is a factual determination that can only be made after the close of such taxable year and, thus, is subject to significant uncertainty and change. Accordingly, there can be no assurance with respect to our status as a PFIC for our current taxable year or any future taxable year. In addition, our U.S. counsel expresses no opinion with respect to our PFIC status for any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PFIC status is determined annually, a determination that we are a PFIC in a particular taxable year will generally apply for subsequent years to a U.S. Holder who held Class A Ordinary Shares or Warrants while we were a PFIC, whether or not we meet the test for PFIC status in those subsequent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entirely clear how various aspects of the PFIC rules apply to our warrants. Section 1298(a)(4) of the Code provides that, to the extent provided in the U.S. Treasury regulations, any person who has an option to acquire stock in a PFIC shall be considered to own such stock in the PFIC for purposes of the PFIC rules. No final U.S. Treasury regulations are currently in effect under Section 1298(a)(4) of the Code. However, proposed U.S. Treasury regulations under Section 1298(a)(4) of the Code have been promulgated with a retroactive effective date (the “Proposed PFIC Option Regulations”). Each U.S. Holder is urged to consult its tax advisors regarding the possible application of the Proposed PFIC Option Regulations to an investment in our warrants. Solely for discussion purposes, the following discussion assumes that the Proposed PFIC Option Regulations will apply to our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determined to be a PFIC for any taxable year (or portion thereof) that is included in the holding period of a U.S. Holder of Class A Ordinary Shares or Warrants and, in the case of Class A Ordinary Shares, the U.S. Holder did not make either a qualified electing fund (“QEF”) election or mark-to-market election, as further discussed below, for the first taxable year in which we were treated as a PFIC and in which the U.S. Holder held (or was deemed to hold) such shares or otherwise, such U.S. Holder generally will be subject to special and adverse rules with respect to (i) any gain recognized by the U.S. Holder on the sale or other disposition of its Class A Ordinary Shares or Warrants (which may include gain realized by reason of transfers of Class A Ordinary Shares or Warrants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 (together, the “excess distribution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these excess distribution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Holder’s gain or excess distribution will be allocated ratably over the U.S. Holder’s holding period for the Class A Ordinary Shares or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allocated to each other taxable year (or portion thereof) of the U.S. Holder and included in its holding period will be taxed at the highest tax rate in effect for that year and applicable to the U.S. Holder;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tax equal to the interest charge generally applicable to underpayments of tax will be imposed on the U.S. Holder with respect to the tax attributable to each such other taxable year (or portion thereof) of the U.S. 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if we are determined to be a PFIC, a U.S. Holder may be able to avoid the excess distribution rules described above in respect of our Class A Ordinary Shares (but, under current law, not our warrants)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U.S. Holder makes a QEF election with respect to its Class A Ordinary Shares in a year after our first taxable year as a PFIC in which the U.S. Holder held (or was deemed to hold) Class A Ordinary Shares, then notwithstanding such QEF election, the excess distribution rules discussed above, adjusted to take into account the current income inclusions resulting from the QEF election, will continue to apply with respect to such U.S. Holder’s Class A Ordinary Shares, unless the U.S. Holder makes a purging election under the PFIC rules. Under one type of purging election, the U.S. Holder will be deemed to have sold such Class A Ordinary Shares at their fair market value and any gain recognized on such deemed sale will be treated as an excess distribution, as described above. As a result of such purging election, the U.S. Holder will have additional basis (to the extent of any gain recognized on the deemed sale) and, solely for purposes of the PFIC rules, a new holding period in the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current law, a U.S. Holder may not make a QEF election with respect to its warrants to acquire Class A Ordinary Shares. As a result, under the Proposed PFIC Option Regulations,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and maintains a QEF election with respect to the newly acquired Class A Ordinary Shares (or has previously made a QEF election with respect to Class A Ordinary Shares), the QEF election will apply to the newly acquired Class A Ordinary Shares. Notwithstanding such QEF election, the excess distribution rules discussed above, adjusted to take into account the current income inclusions resulting from the QEF election, might continue to apply with respect to such newly acquired Class A Ordinary Shares due to a rule under the Proposed Treasury Regulations providing that shares acquired pursuant to the exercise of an option generally will be deemed to have a holding period for purposes of the PFIC rules that includes the period the U.S. Holder held the option. If this rule were to be applicable, and as a result a U.S. Holder’s holding period in Class A Ordinary Shares acquired pursuant to the exercise of a Warrant included a prior period in which a QEF election was not in effect, the U.S. Holder would generally need to make, in addition to a QEF Election, a purging election under the PFIC rules to avoid the application of the excess distribution rules. U.S. Holders are urged to consult their tax advisors as to the application of the rules governing purging elections to their particular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U.S. Holder has made a QEF election with respect to their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Class A Ordinary Shares generally will be taxable as capital gain and no additional interest charge will be imposed under the PFIC rules. As discussed above, if we were a PFIC for any taxable year, a U.S. Holder of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were not a PFIC for any taxable year, such U.S. Holder will not be subject to the QEF inclusion regime with respect to its Class A Ordinary Shares for such a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comply with the requirements of a QEF election, a U.S. Holder must receive a PFIC Annual Information Statement from us that provides the information necessary for U.S. Holders to make or maintain a QEF election. If we determine that we are a PFIC for any taxable year, upon written request, we will endeavor to provide to such requesting U.S. Holder a PFIC Annual Information Statement as may be required in order to enable the U.S. Holder to make and maintain a QEF election with respect to us, but there is no assurance that we will timely provide such required information. There is also no assurance that we will have timely knowledge of our status as a PFIC in any particular taxable year or of the required information to be provided.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Alternatively, if we are a PFIC and our Class A Ordinary Shares constitute “marketable stock,” a U.S. Holder who owns (or is treated as owning for purposes of this rule) our shares at the close of its taxable year may avoid the application of the excess distribution rules discussed above if such U.S. Holder makes a “mark-to-market” election with respect to such shares for the first taxable year in which it holds (or is deemed to hold) Class A Ordinary Shares and for which we are determined to be a PFIC.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and any further loss recognized will be treated as ordinary loss (but only to the extent of the net amount of income previously included as a result of a mark-to-market election, and any loss in excess of such prior inclusions generally would be treated as capital loss). Under current law, a mark-to-market election may not be made with respect to our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 to qualify as “marketable stock” for purposes of the PFIC rules or the IRS consents to the revocation of the election. U.S. Holders are urged to consult their tax advisors regarding the availability and tax consequences of a mark-to-market election with respect to Class A Ordinary Shares under their particular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a PFIC and, at any time, we have a foreign subsidiary that is classified as a PFIC, a U.S. Holder generally would be deemed to own a proportionate amount of the shares of such lower-tier PFIC, and generally could incur liability for the deferred tax and interest charge under the excess distribution rules described above if we receive a distribution from, or disposes of all or part of its interest in, the lower-tier PFIC, or the U.S. Holder otherwise was deemed to have disposed of an interest in the lower-tier PFIC. There can be no assurance that we will have timely knowledge of the status of any lower-tier PFIC or provide information that may be required for a U.S. Holder to make or maintain a QEF election with respect to such lower-tier PFIC. A mark-to-market election generally would not be available with respect to such lower-tier PFIC.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rules dealing with PFICs and with the QEF, purging and mark-to-market elections are very complex and are affected by various factors in addition to those described above. Accordingly, U.S. Holders of our Class A Ordinary Shares and Warrants are urged to consult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their own tax advisors concerning the application of the PFIC rules to our securities under their particular circumstances including, in particular, to any U.S. Holder who acquire Class A Ordinary Shares pursuant to the exercise of Warrants.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Foreign Asset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U.S. Holders are required to report their holdings of certain specified foreign financial assets, including equity of foreign entities, if the aggregate value of all of these assets exceeds certain threshold amounts, by filing IRS Form 8938 with their federal income tax return. Our Class A Ordinary Shares and Warrants are expected to constitute foreign financial assets subject to these requirements unless the Class A Ordinary Shares or Warrants are held in an account maintained at certain financial institutions.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their information reporting obligations, if any, with respect to their ownership and disposition of our Class A Ordinary Shares and Warrants.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Information Reporting and Backup Withholding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 payments with respect to our Class A Ordinary Shares and proceeds from the sale or exchange of our Class A Ordinary Shares or Warrants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Backup withholding is not an additional tax. Amounts withheld as backup withholding may be credited against a U.S. Holder’s U.S. federal income tax liability, and a U.S. Holder generally may obtain a refund of any excess amounts withheld under the backup withholding rules by timely filing the appropriate claim for refund with the IRS and furnishing any required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above description is not intended to constitute a complete analysis of all tax consequences relating to acquisition, ownership and disposition of our Class A Ordinary Shares and Warrants. You should consult your tax advisor concerning the tax consequences of your particular situation.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 and Paying Agents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Statement by Experts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Documents on Display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informational requirements of the Exchange Act. Accordingly, we are required to file reports and other information with the SEC, including annual reports on Form 20-F and reports on Form 6-K.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a foreign private issuer, we are exempt under the Exchange Act from, among other things, the rules prescribing the furnishing and content of proxy statements, and historically, our officers, directors and principal shareholders are exempt from the reporting and short swing profit recovery provisions contained in Section 16 of the Exchange Act. Effective March 18, 2026, our officers and directors became subject to Section 16 reporting requirements. In addition, we are not required under the Exchange Act to file periodic reports and financial statements with the SEC as frequently or as promptly as U.S. companies whose securities are registered under the Exchange Act. We are required to make certain filings with the SEC. The SEC maintains an internet website that contains reports, proxy statements and other information about issuers, like us, that file electronically with the SEC. The address of that site is </w:t>
      </w:r>
      <w:r>
        <w:rPr>
          <w:rFonts w:ascii="Times New Roman" w:hAnsi="Times New Roman"/>
          <w:sz w:val="20"/>
        </w:rPr>
        <w:t>www.sec.gov</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Class A Ordinary Shares and Warrants are quoted on Nasdaq. Information about us is also available on our website at </w:t>
      </w:r>
      <w:r>
        <w:rPr>
          <w:rFonts w:ascii="Times New Roman" w:hAnsi="Times New Roman"/>
          <w:sz w:val="20"/>
        </w:rPr>
        <w:t>www.apollomicsinc.com</w:t>
      </w:r>
      <w:r>
        <w:rPr>
          <w:rFonts w:ascii="Times New Roman" w:hAnsi="Times New Roman"/>
          <w:color w:val="000000"/>
          <w:sz w:val="20"/>
        </w:rPr>
        <w:t>. Our website and the information contained therein or connected thereto will not be deemed to be incorporated into this annual report and you should not rely on any such information in making your decision whether to purchase our Class A Ordinary Shares or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Subsidiary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Annual Report to Security 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11"/>
      <w:bookmarkEnd w:id="19"/>
      <w:r>
        <w:rPr>
          <w:rFonts w:ascii="Times New Roman" w:hAnsi="Times New Roman"/>
          <w:b/>
          <w:color w:val="000000"/>
          <w:sz w:val="20"/>
        </w:rPr>
        <w:t>Item 11.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which are discussed in detail below. We do not hold any market risk sensitive instruments for trading purposes.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risk is the risk that the value of a financial instrument fluctuates because of the change in foreign exchange rates. We primarily operate in the United States, PRC, and Australia, with most of the transactions settled in the U.S. dollar. Our presentation and functional currency is the U.S. dollar. Certain bank balances, deposits and other payables are denominated in Renminbi and Australian dollar, which exposes us to foreign currency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exposed to significant foreign exchange risk as there are no significant financial assets or liabilities of ours denominated in currencies other than U.S. dollars. We did not use any derivative contracts to hedge against our exposure to currency risk during the years ended December 31, 2024 and 2025. However, our management monitors foreign exchange exposure and will consider hedging significant foreign currency exposure should the need arise.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carrying amounts of our foreign currency denominated monetary assets and monetary liabilities at the end of each reporting period are as follows:</w:t>
      </w:r>
    </w:p>
    <w:tbl>
      <w:tblPr>
        <w:tblW w:w="6682" w:type="dxa"/>
        <w:jc w:val="left"/>
        <w:tblInd w:w="0" w:type="dxa"/>
        <w:tblLayout w:type="fixed"/>
        <w:tblCellMar>
          <w:top w:w="28" w:type="dxa"/>
          <w:left w:w="28" w:type="dxa"/>
          <w:bottom w:w="28" w:type="dxa"/>
          <w:right w:w="28" w:type="dxa"/>
        </w:tblCellMar>
      </w:tblPr>
      <w:tblGrid>
        <w:gridCol w:w="2341"/>
        <w:gridCol w:w="146"/>
        <w:gridCol w:w="211"/>
        <w:gridCol w:w="571"/>
        <w:gridCol w:w="146"/>
        <w:gridCol w:w="146"/>
        <w:gridCol w:w="211"/>
        <w:gridCol w:w="571"/>
        <w:gridCol w:w="146"/>
        <w:gridCol w:w="146"/>
        <w:gridCol w:w="211"/>
        <w:gridCol w:w="571"/>
        <w:gridCol w:w="146"/>
        <w:gridCol w:w="146"/>
        <w:gridCol w:w="211"/>
        <w:gridCol w:w="571"/>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Renminbi (“RMB”)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Australian Dollars (“AUD”)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years ended December 31, 2024 and 2025, (i) if Renminbi strengthened or weakened by 5% against the U.S. dollar with all other variables held constant, our loss for the years ended December 31, 2024 and 2025 would decrease or increase by $273 thousand and decrease or increase by $49 thousand, respectively; and (ii) if the Australian dollar strengthened or weakened by 5% against the U.S. dollar with all other variables held constant, our loss for the years ended December 31, 2024 and 2025 would decrease or increase by $22 thousand and increase or decrease by $9 thousand,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fair value interest rate risk in relation to time deposits and lease liabilities. We are also exposed to cash flow interest rate risk in relation to variable-rate bank balances. Our cash flow interest rate risk is mainly concentrated on the fluctuation of interest rates on bank balances. We consider that the exposure of cash flow interest rate risk arising from variable-rate bank balances is insignificant.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other price risk arising from the investment in a money market fund in the United States. No sensitivity analysis with respect to our investment in money market funds in the United States is performed as we consider that the exposure of other price risk arising from the investment in a money market fund in the United States is insignificant because the investment is mainly on U.S. treasury bonds with high credit rating and liquidity.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Credit and Counterparty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Credit and counterparty risk refers to the risk that a counterparty will default on its contractual obligations resulting in financial loss to us. Credit and counterparty risk for the Company primarily comes from the outstanding balance of the upfront payment owed to us by LaunXP under our collaboration and license agreement. In order to minimize the credit risk, we review the recoverable amount of each individual debt at the end of each reporting period to ensure that adequate impairment losses are made for irrecoverable amounts. Although we experienced initial delays in receiving the owed amounts from LaunXP, LaunXP has subsequently made partial payments, bringing the total amount paid to $6.2 million as of December 31, 2025. Of the remaining $3.8 million balance, $2.3 million has been recorded as accounts receivable, while an additional $1.5 million has not yet been billed. LaunXP has proposed a revised payment schedule contingent upon the completion of its own capital raising exercise, which it anticipates concluding in Q2 2026. Based on these positive collection efforts, the ongoing active collaboration, and the agreement remaining in full force, management concludes the outstanding balance remains recoverable. We continue to actively monitor the status of this receivable.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Liquidity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and 2025, we recorded net assets of $4.9 million and $(3.2) million, respectively. In the management of liquidity risk, we have reviewed our cash flow projections to ensure we maintain a level of cash and cash equivalents deemed adequate by the management to finance our operations and mitigate the effects of fluctuations in cash flows. In prior fiscal years, we were dependent upon our convertible preferred shares as significant sources of liquidity, but these were all converted as of March 29, 2023.</w:t>
      </w:r>
    </w:p>
    <w:p>
      <w:pPr>
        <w:pStyle w:val="TextBody"/>
        <w:bidi w:val="0"/>
        <w:spacing w:before="360" w:after="283"/>
        <w:jc w:val="left"/>
        <w:rPr>
          <w:rFonts w:ascii="Times New Roman" w:hAnsi="Times New Roman"/>
          <w:b/>
          <w:color w:val="000000"/>
          <w:sz w:val="20"/>
        </w:rPr>
      </w:pPr>
      <w:bookmarkStart w:id="20" w:name="item_12"/>
      <w:bookmarkEnd w:id="20"/>
      <w:r>
        <w:rPr>
          <w:rFonts w:ascii="Times New Roman" w:hAnsi="Times New Roman"/>
          <w:b/>
          <w:color w:val="000000"/>
          <w:sz w:val="20"/>
        </w:rPr>
        <w:t>Item 12. Description of Securities Other than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our securities, including our outstanding warrants, is included as Exhibit 2.1 of this Annual Report.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1" w:name="part_ii"/>
      <w:bookmarkEnd w:id="21"/>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22" w:name="item_13"/>
      <w:bookmarkEnd w:id="22"/>
      <w:r>
        <w:rPr>
          <w:rFonts w:ascii="Times New Roman" w:hAnsi="Times New Roman"/>
          <w:b/>
          <w:color w:val="000000"/>
          <w:sz w:val="20"/>
        </w:rPr>
        <w:t>Item 13. Defaults, Dividend Arrearages and Delinquencies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3" w:name="item_14"/>
      <w:bookmarkEnd w:id="23"/>
      <w:r>
        <w:rPr>
          <w:rFonts w:ascii="Times New Roman" w:hAnsi="Times New Roman"/>
          <w:b/>
          <w:color w:val="000000"/>
          <w:sz w:val="20"/>
        </w:rPr>
        <w:t>Item 14. Material Modifications to the Rights of Security Holders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4" w:name="item_15"/>
      <w:bookmarkEnd w:id="24"/>
      <w:r>
        <w:rPr>
          <w:rFonts w:ascii="Times New Roman" w:hAnsi="Times New Roman"/>
          <w:b/>
          <w:color w:val="000000"/>
          <w:sz w:val="20"/>
        </w:rPr>
        <w:t>Item 15.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Conclusion Regarding the Effectiveness of 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the design and operation of our disclosure controls and procedures as of December 31, 2025 (as such term is defined in Rule 13a-15(e) under the Exchange Act). Our disclosure controls and procedures are designed to provide reasonable assurance that the information required to be disclosed in our reports filed or submitted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 Any controls and procedures, no matter how well designed and operated, can provide only reasonable assurance of achieving the desired control objectives.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upon this evaluation, our management concluded that, as of December 31, 2025, our disclosure controls and procedures were effective.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under the Exchange Act. Our internal control over financial reporting is designed to provide reasonable assurance regarding the reliability of financial reporting and the preparation of financial statements for external purposes in accordance with IFRS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IFRS,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preparation of our financial statements at and as of December 31, 2023, we identified a material weakness in our internal control over financial reporting, in accordance with the standards established by the PCAOB. During 2024, we remediated the material weakness, and took additional steps to further improve our internal control environment. As of December 31, 2025, management completed its year-end assessment of our internal controls over financial reporting and did not identify any material weaknesses.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has assessed the effectiveness of the Company’s internal control over financial reporting as of December 31, 2025, utilizing the criteria in the Committee of Sponsoring Organizations of the Treadway Commission’s Internal Control-Integrated Framework (2013). Based on its assessment, our management determined that, as of December 31, 2025, the Company’s internal control over financial reporting was effective.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noted above, there was no change in our internal control over financial reporting identified in connection with the evaluation required by Rule 13a-15(d) of the Exchange Act that occurred during the period covered by this annual report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5" w:name="item16_a"/>
      <w:bookmarkEnd w:id="25"/>
      <w:r>
        <w:rPr>
          <w:rFonts w:ascii="Times New Roman" w:hAnsi="Times New Roman"/>
          <w:b/>
          <w:color w:val="000000"/>
          <w:sz w:val="20"/>
        </w:rPr>
        <w:t>Item 16A. Audit Committee Financial Expert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has determined that Mr. Hsien-Shu (Jerry) Tsai satisfies the “independence” requirements set forth in Rule 10A-3 under the Exchange Act. Our board of directors has also determined that Mr. Hsien-Shu (Jerry) Tsai is considered an “audit committee financial expert” as defined in Item 16A of Form 20-F under the Exchange Act.</w:t>
      </w:r>
    </w:p>
    <w:p>
      <w:pPr>
        <w:pStyle w:val="TextBody"/>
        <w:bidi w:val="0"/>
        <w:spacing w:before="360" w:after="283"/>
        <w:jc w:val="left"/>
        <w:rPr>
          <w:rFonts w:ascii="Times New Roman" w:hAnsi="Times New Roman"/>
          <w:b/>
          <w:color w:val="000000"/>
          <w:sz w:val="20"/>
        </w:rPr>
      </w:pPr>
      <w:bookmarkStart w:id="26" w:name="item16_b"/>
      <w:bookmarkEnd w:id="26"/>
      <w:r>
        <w:rPr>
          <w:rFonts w:ascii="Times New Roman" w:hAnsi="Times New Roman"/>
          <w:b/>
          <w:color w:val="000000"/>
          <w:sz w:val="20"/>
        </w:rPr>
        <w:t>Item 16B. Code of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Ethics that applies to all our employees, officers and directors, including our principal executive, principal financial and principal accounting officers. Our Code of Ethics addresses, among other things, competition and fair dealing, conflicts of interest, financial matters and external reporting, company funds and assets, confidentiality and corporate opportunity requirements and the process for reporting violations of the Code of Ethics, employee misconduct, conflicts of interest or other violations. Our Code of Ethics is intended to meet the definition of “code of ethics” under Item 16B of 20-F under the Exchange Act. The full text of our Code of Ethics is available on our website, at https://ir.apollomicsinc.com/corporate-governance/governance-overview.</w:t>
      </w:r>
    </w:p>
    <w:p>
      <w:pPr>
        <w:pStyle w:val="TextBody"/>
        <w:bidi w:val="0"/>
        <w:spacing w:before="360" w:after="283"/>
        <w:jc w:val="left"/>
        <w:rPr>
          <w:rFonts w:ascii="Times New Roman" w:hAnsi="Times New Roman"/>
          <w:sz w:val="20"/>
        </w:rPr>
      </w:pPr>
      <w:bookmarkStart w:id="27" w:name="item16_c"/>
      <w:bookmarkEnd w:id="27"/>
      <w:r>
        <w:rPr>
          <w:rFonts w:ascii="Times New Roman" w:hAnsi="Times New Roman"/>
          <w:b/>
          <w:color w:val="000000"/>
          <w:sz w:val="20"/>
        </w:rPr>
        <w:t>Item 16C.</w:t>
      </w:r>
      <w:r>
        <w:rPr>
          <w:rFonts w:ascii="Times New Roman" w:hAnsi="Times New Roman"/>
          <w:color w:val="000000"/>
          <w:sz w:val="20"/>
        </w:rPr>
        <w:t xml:space="preserve"> </w:t>
      </w:r>
      <w:r>
        <w:rPr>
          <w:rFonts w:ascii="Times New Roman" w:hAnsi="Times New Roman"/>
          <w:b/>
          <w:color w:val="000000"/>
          <w:sz w:val="20"/>
        </w:rPr>
        <w:t>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of Apollomics Inc. for the year ended December 31, 2025 appearing in this Annual Report have been audited by Marcum Asia CPAs LLP, an independent registered public accounting firm, as set forth in their report thereon appearing elsewhere herein, and are included in reliance upon such report given on the authority of such firm as experts in accounting and auditing. The office of Marcum Asia CPAs LLP is located in New York, United States of America.</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table below sets out the total amount of services rendered to us by Grant Thornton LLP for services performed in the years ended December 31, 2023 and 2024, and by Marcum Asia CPAs LLP for services performed in the year ended December 31, 2025, and breaks down these amounts by category of service:</w:t>
      </w:r>
    </w:p>
    <w:tbl>
      <w:tblPr>
        <w:tblW w:w="5038" w:type="dxa"/>
        <w:jc w:val="left"/>
        <w:tblInd w:w="0" w:type="dxa"/>
        <w:tblLayout w:type="fixed"/>
        <w:tblCellMar>
          <w:top w:w="28" w:type="dxa"/>
          <w:left w:w="28" w:type="dxa"/>
          <w:bottom w:w="28" w:type="dxa"/>
          <w:right w:w="28" w:type="dxa"/>
        </w:tblCellMar>
      </w:tblPr>
      <w:tblGrid>
        <w:gridCol w:w="991"/>
        <w:gridCol w:w="146"/>
        <w:gridCol w:w="211"/>
        <w:gridCol w:w="781"/>
        <w:gridCol w:w="146"/>
        <w:gridCol w:w="146"/>
        <w:gridCol w:w="211"/>
        <w:gridCol w:w="781"/>
        <w:gridCol w:w="146"/>
        <w:gridCol w:w="146"/>
        <w:gridCol w:w="211"/>
        <w:gridCol w:w="931"/>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1,038,369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consolidated financial statements of Apollomics Inc. for the years ended December 31, 2023 and 2024 appearing in this Annual Report have been audited by Grant Thorton LLP, an independent registered public accounting firm, as set forth in their report thereon appearing elsewhere herein, and are included in reliance upon such report given on the authority of such firm as experts in accounting and auditing. The office of Grant Thronton LLP is located in San Francisco, United States of America.</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Audit Fees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Audit fees for the years ended December 31, 2023, 2024 and 2025, respectively, include fees for the audit of our annual financial statements. This category also includes services that the independent accountant generally provides, such as consents and assistance with and review of documents filed with the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Audit Related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fees for the years ended December 31, 2024 and 2025 were related to ongoing tax advisory, tax compliance and tax planning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All Other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Pre-Approval Policies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advance approval of the Audit Committee or members thereof, to whom approval authority has been delegated, is required for all audit and non-audit services provided by our auditors.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services provided by our auditors are approved in advance by either the Audit Committee or members thereof, to whom authority has been delegated, in accordance with the Audit Committee’s pre-approval policy.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8" w:name="item16_d"/>
      <w:bookmarkEnd w:id="28"/>
      <w:r>
        <w:rPr>
          <w:rFonts w:ascii="Times New Roman" w:hAnsi="Times New Roman"/>
          <w:b/>
          <w:color w:val="000000"/>
          <w:sz w:val="20"/>
        </w:rPr>
        <w:t>Item 16D. Exemptions from the Listing Standards for Audit Committees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 We have not asked for, nor have we been granted, an exemption from the applicable listing standards for our audit committee.</w:t>
      </w:r>
    </w:p>
    <w:p>
      <w:pPr>
        <w:pStyle w:val="TextBody"/>
        <w:bidi w:val="0"/>
        <w:spacing w:before="360" w:after="283"/>
        <w:jc w:val="left"/>
        <w:rPr>
          <w:rFonts w:ascii="Times New Roman" w:hAnsi="Times New Roman"/>
          <w:b/>
          <w:color w:val="000000"/>
          <w:sz w:val="20"/>
        </w:rPr>
      </w:pPr>
      <w:bookmarkStart w:id="29" w:name="item16_e"/>
      <w:bookmarkEnd w:id="29"/>
      <w:r>
        <w:rPr>
          <w:rFonts w:ascii="Times New Roman" w:hAnsi="Times New Roman"/>
          <w:b/>
          <w:color w:val="000000"/>
          <w:sz w:val="20"/>
        </w:rPr>
        <w:t>Item 16E. 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30" w:name="item16_f"/>
      <w:bookmarkEnd w:id="30"/>
      <w:r>
        <w:rPr>
          <w:rFonts w:ascii="Times New Roman" w:hAnsi="Times New Roman"/>
          <w:b/>
          <w:color w:val="000000"/>
          <w:sz w:val="20"/>
        </w:rPr>
        <w:t>Item 16F. Change in Registrant’s Certifying Accountant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 Dismissal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13, 2025, the audit committee of the Board of Directors (the “Audit Committee”) dismissed Grant Thornton LLP (“Grant Thornton”) as the Company’s independent registered public accounting firm.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 Dismissal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Grant Thornton’s reports on the financial statements of the Company for the financial years ended December 31, 2023 and 2024, did not contain any adverse opinion or disclaimer of opinion, and were not qualified or modified as to uncertainty, audit scope or accounting principles. Furthermore, during the financial years ended December 31, 2023 and 2024, and through October 13, 2025, there were no disagreements with Grant Thornton on any matters of accounting principles or practices, financial statement disclosure or auditing scope and procedures which, had such disagreements or matters not been resolved to the satisfaction of Grant Thornton, would have caused Grant Thornton to make reference to the subject matter of the disagreement in connection with its reports on the Company’s financial statements for such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reportable events (as that term is described in Item 16F of Form 20-F) during the two financial years ended December 31, 2023 and 2024, and through October 13, 2025, except for a material weakness in the Company’s internal control over financial reporting as of December 31, 2023, which was remediated during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provided Grant Thornton with a copy of the foregoing disclosure and Grant Thornton furnished the Company with a letter addressed to the SEC stating that Grant Thornton agreed with the above statements, as disclosed in the Company’s Form 6-K filed on October 16,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Engagement of new independent registered public accounting firm</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October 13, 2025, the Audit Committee approved the engagement of Marcum Asia CPAs LLP (“Marcum”) as the Company’s new independent registered public accounting firm for the fiscal year ending December 31, 2025. During the Company’s two most recent financial years, and through October 13, 2025, neither the Company nor anyone acting on the Company’s behalf consulted Marcum with respect to any matters or reportable events set forth in Item 16F(a)(2)(i) and (ii) of Form 20-F and the related instructions thereto), or a reportable event (as described in Item 16F(a)(1)(v) of Form 20-F).</w:t>
      </w:r>
    </w:p>
    <w:p>
      <w:pPr>
        <w:pStyle w:val="TextBody"/>
        <w:bidi w:val="0"/>
        <w:spacing w:before="360" w:after="283"/>
        <w:jc w:val="left"/>
        <w:rPr>
          <w:rFonts w:ascii="Times New Roman" w:hAnsi="Times New Roman"/>
          <w:sz w:val="20"/>
        </w:rPr>
      </w:pPr>
      <w:bookmarkStart w:id="31" w:name="item16_g"/>
      <w:bookmarkEnd w:id="31"/>
      <w:r>
        <w:rPr>
          <w:rFonts w:ascii="Times New Roman" w:hAnsi="Times New Roman"/>
          <w:b/>
          <w:color w:val="000000"/>
          <w:sz w:val="20"/>
        </w:rPr>
        <w:t>Item 16G.</w:t>
      </w:r>
      <w:r>
        <w:rPr>
          <w:rFonts w:ascii="Times New Roman" w:hAnsi="Times New Roman"/>
          <w:color w:val="000000"/>
          <w:sz w:val="20"/>
        </w:rPr>
        <w:t xml:space="preserve"> </w:t>
      </w:r>
      <w:r>
        <w:rPr>
          <w:rFonts w:ascii="Times New Roman" w:hAnsi="Times New Roman"/>
          <w:b/>
          <w:color w:val="000000"/>
          <w:sz w:val="20"/>
        </w:rPr>
        <w:t>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“foreign private issuer” (as such term is defined in Rule 3b-4 under the Exchange Act) and our Class A Ordinary Shares are listed on the Nasdaq Capital Market. As a foreign private issuer, we are permitted under Nasdaq rules to follow home country governance practices instead of Nasdaq requirements, except that we must maintain an audit committee of the board of directors that meets the requirements of Exchange Act Rule 10A-3 and include disclosure in our annual reports on Form 20-F describing any significant ways in which our corporate governance practices differ from those followed by U.S. domestic listed companies and Nasdaq standards.</w:t>
      </w:r>
    </w:p>
    <w:p>
      <w:pPr>
        <w:pStyle w:val="TextBody"/>
        <w:bidi w:val="0"/>
        <w:spacing w:before="240" w:after="283"/>
        <w:jc w:val="left"/>
        <w:rPr>
          <w:rFonts w:ascii="Times New Roman" w:hAnsi="Times New Roman"/>
          <w:sz w:val="20"/>
        </w:rPr>
      </w:pPr>
      <w:r>
        <w:rPr>
          <w:rFonts w:ascii="Times New Roman" w:hAnsi="Times New Roman"/>
          <w:color w:val="000000"/>
          <w:sz w:val="20"/>
        </w:rPr>
        <w:t>As a foreign private issuer, we are permitted under Nasdaq rules to follow the corporate governance practices of our home country, the Cayman Islands, instead of most of Nasdaq’s corporate governance requirements. We follow home country corporate governance practices instead of some of Nasdaq’s corporate governance requirements, as described in more detail below. See also Item 6.C. “</w:t>
      </w:r>
      <w:r>
        <w:rPr>
          <w:rFonts w:ascii="Times New Roman" w:hAnsi="Times New Roman"/>
          <w:i/>
          <w:color w:val="000000"/>
          <w:sz w:val="20"/>
        </w:rPr>
        <w:t>Directors, Senior Management and Employees—Board Practices.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5"/>
        <w:gridCol w:w="109"/>
        <w:gridCol w:w="2503"/>
        <w:gridCol w:w="109"/>
        <w:gridCol w:w="2636"/>
        <w:gridCol w:w="109"/>
        <w:gridCol w:w="3394"/>
      </w:tblGrid>
      <w:tr>
        <w:trPr/>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1345"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Requirement</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3"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Nasdaq Requirement for U.S.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Listed Companies</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Cayman Islands Law</w:t>
            </w:r>
          </w:p>
        </w:tc>
        <w:tc>
          <w:tcPr>
            <w:tcW w:w="109"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4"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Apollomics Practice</w:t>
            </w:r>
          </w:p>
        </w:tc>
      </w:tr>
      <w:tr>
        <w:trPr/>
        <w:tc>
          <w:tcPr>
            <w:tcW w:w="1345"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Independent Directors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board of directors is required to have a majority of independent directors.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Cayman Islands law does not require us to have a majority of independent directors.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currently have a majority independent board of directors in accordance with Nasdaq independence standards.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1"/>
        <w:gridCol w:w="146"/>
        <w:gridCol w:w="4344"/>
        <w:gridCol w:w="146"/>
        <w:gridCol w:w="1732"/>
        <w:gridCol w:w="146"/>
        <w:gridCol w:w="2220"/>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Audit Committee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Must have an audit committee with the specific responsibilities and authority necessary to comply with SEC rules. Members must meet all of the independence requirements of Nasdaq, as well as the SEC Rule 10A-3 independence requirements (subject to any available exemptions).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Cayman Islands law does not require an independent audit committee.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Our board of directors has established an audit committee that complies with SEC Rule 10A-3 independence requirements, and currently complies with Nasdaq independence standards.</w:t>
            </w:r>
          </w:p>
        </w:tc>
      </w:tr>
      <w:tr>
        <w:trPr/>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Compensation of Executive Officers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Must have a compensation committee consisting solely of independent directors. Must satisfy the additional independence requirements specific to compensation committee membership.</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Cayman Islands law does not require an independent compensation committee.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board of directors has established a compensation committee currently of independent directors as determined in accordance with Nasdaq listing standards.</w:t>
            </w:r>
          </w:p>
        </w:tc>
      </w:tr>
      <w:tr>
        <w:trPr/>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Nomination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Must have a nominating committee consisting solely of independent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Cayman Islands law does not require an independent nominating and corporate governance committee.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board of directors has established a nominating and corporate governance committee currently of independent directors as determined in accordance with Nasdaq listing standards.</w:t>
            </w:r>
          </w:p>
        </w:tc>
      </w:tr>
      <w:tr>
        <w:trPr/>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Annual Meeting</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3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Must hold an annual meeting of shareholders no later than one year after the end of a company’s fiscal year-end.</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73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Cayman Islands law does not require an annual meeting of shareholders.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2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do intend on holding an annual meeting of shareholders.</w:t>
            </w:r>
          </w:p>
        </w:tc>
      </w:tr>
      <w:tr>
        <w:trPr/>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Shareholder Approval of Securities Issuances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3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Must obtain shareholder approval for certain issuances of securities, including in connection with the acquisition of the stock or assets of another company, when the issuance or potential issuance will result in a change of control of the company, when a stock option or purchase plan is to be established or materially amended or other equity compensation arrangement made or materially amended, pursuant to which stock may be acquired by officers, directors, employees or consultants, or prior to a 20% issuance at a price that is less than certain minimum prices.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73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Cayman Islands law does not require shareholder approval for any such issuances of securities.</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2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do not intend on seeking shareholder approval for any issuances of our securities.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in the future, however, decide to use other foreign private issuer exemptions with respect to some or all of the other Nasdaq Stock Market listing rules. Following our home country governance practices may provide less protection than is accorded to investors under the Nasdaq Stock Market listing rules applicable to domestic issuers.</w:t>
      </w:r>
    </w:p>
    <w:p>
      <w:pPr>
        <w:pStyle w:val="TextBody"/>
        <w:bidi w:val="0"/>
        <w:spacing w:before="360" w:after="283"/>
        <w:jc w:val="left"/>
        <w:rPr>
          <w:rFonts w:ascii="Times New Roman" w:hAnsi="Times New Roman"/>
          <w:b/>
          <w:color w:val="000000"/>
          <w:sz w:val="20"/>
        </w:rPr>
      </w:pPr>
      <w:bookmarkStart w:id="32" w:name="item16_h"/>
      <w:bookmarkEnd w:id="32"/>
      <w:r>
        <w:rPr>
          <w:rFonts w:ascii="Times New Roman" w:hAnsi="Times New Roman"/>
          <w:b/>
          <w:color w:val="000000"/>
          <w:sz w:val="20"/>
        </w:rPr>
        <w:t>Item 16H. Mine Safety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33" w:name="item16_i"/>
      <w:bookmarkEnd w:id="33"/>
      <w:r>
        <w:rPr>
          <w:rFonts w:ascii="Times New Roman" w:hAnsi="Times New Roman"/>
          <w:b/>
          <w:color w:val="000000"/>
          <w:sz w:val="20"/>
        </w:rPr>
        <w:t>Item 16I.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34" w:name="item16_j"/>
      <w:bookmarkEnd w:id="34"/>
      <w:r>
        <w:rPr>
          <w:rFonts w:ascii="Times New Roman" w:hAnsi="Times New Roman"/>
          <w:b/>
          <w:color w:val="000000"/>
          <w:sz w:val="20"/>
        </w:rPr>
        <w:t>Item 16J. Insider Trading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insider trading compliance policy that governs the purchase, sale, and other dispositions of our securities by our officers, directors, advisory board members, employees (full- and part- time), and consultants that is reasonably designed to promote compliance with applicable insider trading laws, rules and regulations, and any applicable listing standards. Furthermore, in consideration of the Holding Foreign Insiders Accountable Act, which became effective on March 18, 2026, our officers and directors are now subject to, and are complying with, the reporting requirements and short-swing profit rules of Section 16 of the Exchange Act. A copy of our insider trading policy is filed as Exhibit 11.1 to this Annual Report.</w:t>
      </w:r>
    </w:p>
    <w:p>
      <w:pPr>
        <w:pStyle w:val="TextBody"/>
        <w:bidi w:val="0"/>
        <w:spacing w:before="360" w:after="283"/>
        <w:jc w:val="left"/>
        <w:rPr>
          <w:rFonts w:ascii="Times New Roman" w:hAnsi="Times New Roman"/>
          <w:sz w:val="20"/>
        </w:rPr>
      </w:pPr>
      <w:bookmarkStart w:id="35" w:name="item16_k"/>
      <w:bookmarkEnd w:id="35"/>
      <w:r>
        <w:rPr>
          <w:rFonts w:ascii="Times New Roman" w:hAnsi="Times New Roman"/>
          <w:b/>
          <w:color w:val="000000"/>
          <w:sz w:val="20"/>
        </w:rPr>
        <w:t>Item 16K.</w:t>
      </w:r>
      <w:r>
        <w:rPr>
          <w:rFonts w:ascii="Times New Roman" w:hAnsi="Times New Roman"/>
          <w:color w:val="000000"/>
          <w:sz w:val="20"/>
        </w:rPr>
        <w:t xml:space="preserve"> </w:t>
      </w:r>
      <w:r>
        <w:rPr>
          <w:rFonts w:ascii="Times New Roman" w:hAnsi="Times New Roman"/>
          <w:b/>
          <w:color w:val="000000"/>
          <w:sz w:val="20"/>
        </w:rPr>
        <w:t>Cybersecurity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that safeguarding our proprietary clinical data and intellectual property is paramount to our business viability. Accordingly, we have integrated cybersecurity risk management into our broader enterprise risk management framework. We employ robust, multi-layered processes to assess, identify, and manage material risks from cybersecurity threats. This includes utilizing industry-standard protective measures, endpoint detection systems, and engaging third-party cybersecurity experts to conduct periodic vulnerability assessments. Furthermore, we actively monitor our information systems and require strict data security compliance from our key clinical and operational service providers (including our CROs) to mitigate third-party risks. As of December 31, 2025, we are not aware of any risks from cybersecurity threats, including previous incidents, that have materially affected or are reasonably likely to materially affect our company, including our business strategy, results of operations, or financial condition. </w:t>
      </w:r>
    </w:p>
    <w:p>
      <w:pPr>
        <w:pStyle w:val="TextBody"/>
        <w:bidi w:val="0"/>
        <w:spacing w:before="240" w:after="283"/>
        <w:jc w:val="left"/>
        <w:rPr>
          <w:rFonts w:ascii="Times New Roman" w:hAnsi="Times New Roman"/>
          <w:sz w:val="20"/>
        </w:rPr>
      </w:pPr>
      <w:r>
        <w:rPr>
          <w:rFonts w:ascii="Times New Roman" w:hAnsi="Times New Roman"/>
          <w:i/>
          <w:color w:val="000000"/>
          <w:sz w:val="20"/>
        </w:rPr>
        <w:t>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executing its oversight function primarily through the Audit Committee, actively monitors risks from cybersecurity threats. Management provides periodic briefings to the Audit Committee regarding our overarching cybersecurity posture, emerging threat landscapes, and the operational efficacy of our risk mitigation protocols. Our executive management team, which includes individuals with extensive experience in technology and systems oversight (such as our CFO, Peter Lin, who holds a Master’s degree in Information Systems), is directly responsible for the daily assessment and management of cybersecurity operations and incident response readiness. These disclosures are tagged in Inline XBRL in accordance with SEC mandates.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6" w:name="part_iii"/>
      <w:bookmarkEnd w:id="36"/>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37" w:name="item_17"/>
      <w:bookmarkEnd w:id="37"/>
      <w:r>
        <w:rPr>
          <w:rFonts w:ascii="Times New Roman" w:hAnsi="Times New Roman"/>
          <w:b/>
          <w:color w:val="000000"/>
          <w:sz w:val="20"/>
        </w:rPr>
        <w:t>Item 17.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provided financial statements pursuant to Item 18.</w:t>
      </w:r>
    </w:p>
    <w:p>
      <w:pPr>
        <w:pStyle w:val="TextBody"/>
        <w:bidi w:val="0"/>
        <w:spacing w:before="360" w:after="283"/>
        <w:jc w:val="left"/>
        <w:rPr>
          <w:rFonts w:ascii="Times New Roman" w:hAnsi="Times New Roman"/>
          <w:b/>
          <w:color w:val="000000"/>
          <w:sz w:val="20"/>
        </w:rPr>
      </w:pPr>
      <w:bookmarkStart w:id="38" w:name="item_18"/>
      <w:bookmarkEnd w:id="38"/>
      <w:r>
        <w:rPr>
          <w:rFonts w:ascii="Times New Roman" w:hAnsi="Times New Roman"/>
          <w:b/>
          <w:color w:val="000000"/>
          <w:sz w:val="20"/>
        </w:rPr>
        <w:t>Item 18.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audited consolidated financial statements as required under Item 18 are attached hereto starting on page F-1 of this Annual Report. The audit reports of Grant Thornton U.S. LLP and Marcum Asia CPAs LLP, independent registered public accounting firms, are included herein preceding the audited consolidated financial statements.</w:t>
      </w:r>
    </w:p>
    <w:p>
      <w:pPr>
        <w:pStyle w:val="TextBody"/>
        <w:bidi w:val="0"/>
        <w:spacing w:before="360" w:after="283"/>
        <w:jc w:val="left"/>
        <w:rPr>
          <w:rFonts w:ascii="Times New Roman" w:hAnsi="Times New Roman"/>
          <w:b/>
          <w:color w:val="000000"/>
          <w:sz w:val="20"/>
        </w:rPr>
      </w:pPr>
      <w:bookmarkStart w:id="39" w:name="item_19"/>
      <w:bookmarkEnd w:id="39"/>
      <w:r>
        <w:rPr>
          <w:rFonts w:ascii="Times New Roman" w:hAnsi="Times New Roman"/>
          <w:b/>
          <w:color w:val="000000"/>
          <w:sz w:val="20"/>
        </w:rPr>
        <w:t>Item 19.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List all exhibits filed as part of the registration statement or annual report, including exhibits incorporated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
        <w:gridCol w:w="146"/>
        <w:gridCol w:w="4788"/>
        <w:gridCol w:w="146"/>
        <w:gridCol w:w="511"/>
        <w:gridCol w:w="146"/>
        <w:gridCol w:w="816"/>
        <w:gridCol w:w="146"/>
        <w:gridCol w:w="631"/>
        <w:gridCol w:w="146"/>
        <w:gridCol w:w="990"/>
        <w:gridCol w:w="146"/>
        <w:gridCol w:w="872"/>
      </w:tblGrid>
      <w:tr>
        <w:trPr/>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2" w:type="dxa"/>
            <w:tcBorders/>
            <w:shd w:fill="FFFFFF" w:val="clear"/>
            <w:vAlign w:val="center"/>
          </w:tcPr>
          <w:p>
            <w:pPr>
              <w:pStyle w:val="TableContents"/>
              <w:bidi w:val="0"/>
              <w:spacing w:before="0" w:after="283"/>
              <w:jc w:val="left"/>
              <w:rPr>
                <w:sz w:val="4"/>
                <w:szCs w:val="4"/>
              </w:rPr>
            </w:pPr>
            <w:r>
              <w:rPr>
                <w:sz w:val="4"/>
                <w:szCs w:val="4"/>
              </w:rPr>
            </w:r>
          </w:p>
        </w:tc>
      </w:tr>
      <w:tr>
        <w:trPr/>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04" w:type="dxa"/>
            <w:gridSpan w:val="9"/>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88"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center"/>
              <w:rPr/>
            </w:pPr>
            <w:r>
              <w:rPr/>
              <w:t> </w:t>
            </w:r>
          </w:p>
        </w:tc>
        <w:tc>
          <w:tcPr>
            <w:tcW w:w="990"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w:t>
              <w:br/>
              <w:t>Furnished</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Sixth Amended and Restated Memorandum and Articles of Association of Apollomics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w:anchor="aplm-ex2_1.htm">
              <w:r>
                <w:rPr>
                  <w:rStyle w:val="InternetLink"/>
                  <w:rFonts w:ascii="Times New Roman" w:hAnsi="Times New Roman"/>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Director and Officer Indemnification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2023 Share Incentive Plan of Apollomics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Collaboration and License Agreement by and between Apollomics Inc. and RevMab Biosciences USA,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Data Sublicense Agreement by and between Crown Bioscience (Taichang), Inc. and CB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Development and License Agreement by and between Edison Oncology Holding Corp. and Apollomics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Tri-Party Agreement by and among Crown Bioscience (Taichang), Inc., CB Therapeutics Inc. and Genor Biopharma Co.,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Technology Transfer and Co-Development Agreement by and between Apollomics (Hong Kong), Limited, Nuance Biotech Inc., Nuance Biotech (Shenzhen) Co., Ltd. and Nuance Biotech (Nantong) Co.,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Amended and Restated License and Co-Development Agreement by and between TYG oncology Ltd. and Apollomics (Hong Kong) Limited.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Second Amendment to Office Lease between Apollomics and Hudson Metro Center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3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Tri-Party Agreement by and among Crown Bioscience (Taichang), Inc., CB Therapeutics Inc. and Chia Tai Tianqing Pharmaceutical Group Co.,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Collaboration Agreement by and between Apollomics and Beijing Pearl Biotechnology Co.,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Warrant Agreement between Maxpro Capital Acquisition Corp. and Continental Stock Transfer &amp; Trust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Warrant Assignment, Assumption and Amendment Agreement by and among Maxpro Capital Acquisition Corp., Apollomics Inc. and Continental Stock Transfer &amp; Trust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5"/>
        <w:gridCol w:w="146"/>
        <w:gridCol w:w="4622"/>
        <w:gridCol w:w="146"/>
        <w:gridCol w:w="511"/>
        <w:gridCol w:w="146"/>
        <w:gridCol w:w="808"/>
        <w:gridCol w:w="146"/>
        <w:gridCol w:w="631"/>
        <w:gridCol w:w="146"/>
        <w:gridCol w:w="1089"/>
        <w:gridCol w:w="146"/>
        <w:gridCol w:w="873"/>
      </w:tblGrid>
      <w:tr>
        <w:trPr/>
        <w:tc>
          <w:tcPr>
            <w:tcW w:w="7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96" w:type="dxa"/>
            <w:gridSpan w:val="9"/>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9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22"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center"/>
              <w:rPr/>
            </w:pPr>
            <w:r>
              <w:rPr/>
              <w:t> </w:t>
            </w:r>
          </w:p>
        </w:tc>
        <w:tc>
          <w:tcPr>
            <w:tcW w:w="1089"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w:t>
              <w:br/>
              <w:t>Furnished</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47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Registration Rights Agreement, by and among Apollomics Inc., Maxpro Capital Acquisition Corp., MP One Investment LLC and the individuals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Collaboration and License Agreement by and between Apollomics Inc. and Launxp International Co.,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"https://www.sec.gov/Archives/edgar/data/1944885/000119312523043240/d390280df4a.htm" \l "toc390280_100a"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Subscription Agreement.</w:t>
            </w:r>
            <w:r>
              <w:rPr>
                <w:rStyle w:val="InternetLink"/>
                <w:sz w:val="20"/>
                <w:u w:val="single"/>
                <w:rFonts w:ascii="Times New Roman" w:hAnsi="Times New Roman"/>
                <w:color w:val="0000FF"/>
              </w:rPr>
              <w:fldChar w:fldCharType="end"/>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333-268525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"https://www.sec.gov/Archives/edgar/data/1944885/000119312523043240/d390280df4a.htm" \l "toc390280_100a"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Subscription Agreement.</w:t>
            </w:r>
            <w:r>
              <w:rPr>
                <w:rStyle w:val="InternetLink"/>
                <w:sz w:val="20"/>
                <w:u w:val="single"/>
                <w:rFonts w:ascii="Times New Roman" w:hAnsi="Times New Roman"/>
                <w:color w:val="0000FF"/>
              </w:rPr>
              <w:fldChar w:fldCharType="end"/>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Convertible Promissory Note, dated March 30, 2026, issued by Apollomics Inc. to Hung-Wen Chen.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1,2026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4.21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Settlement Agreement (Confidential Schedule to Tomlin Order), dated November 19,2025, by and among Apollomics Inc., TWVC Goldlink Partners Investment Limited, and TWVC Panglin Group Investment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w:t>
            </w:r>
          </w:p>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Restricted Stock Unit Award Agreement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List of Subsidiaries.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April 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hyperlink w:anchor="aplm-ex12_1.htm">
              <w:r>
                <w:rPr>
                  <w:rStyle w:val="InternetLink"/>
                  <w:rFonts w:ascii="Times New Roman" w:hAnsi="Times New Roman"/>
                  <w:color w:val="0000FF"/>
                  <w:sz w:val="20"/>
                  <w:u w:val="single"/>
                </w:rPr>
                <w:t>Principal Executive Officer Certification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hyperlink w:anchor="aplm-ex12_2.htm">
              <w:r>
                <w:rPr>
                  <w:rStyle w:val="InternetLink"/>
                  <w:rFonts w:ascii="Times New Roman" w:hAnsi="Times New Roman"/>
                  <w:color w:val="0000FF"/>
                  <w:sz w:val="20"/>
                  <w:u w:val="single"/>
                </w:rPr>
                <w:t>Principal Financial Officer Certification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hyperlink w:anchor="aplm-ex13_1.htm">
              <w:r>
                <w:rPr>
                  <w:rStyle w:val="InternetLink"/>
                  <w:rFonts w:ascii="Times New Roman" w:hAnsi="Times New Roman"/>
                  <w:color w:val="0000FF"/>
                  <w:sz w:val="20"/>
                  <w:u w:val="single"/>
                </w:rPr>
                <w:t>Principal Executive Officer Certification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jc w:val="left"/>
              <w:rPr/>
            </w:pPr>
            <w:hyperlink w:anchor="aplm-ex13_2.htm">
              <w:r>
                <w:rPr>
                  <w:rStyle w:val="InternetLink"/>
                  <w:rFonts w:ascii="Times New Roman" w:hAnsi="Times New Roman"/>
                  <w:color w:val="0000FF"/>
                  <w:sz w:val="20"/>
                  <w:u w:val="single"/>
                </w:rPr>
                <w:t>Principal Financial Officer Certification Pursuant to Section 906 of the Sarbanes-Oxley Act of 2002.</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jc w:val="left"/>
              <w:rPr/>
            </w:pPr>
            <w:hyperlink w:anchor="aplm-ex15_1.htm">
              <w:r>
                <w:rPr>
                  <w:rStyle w:val="InternetLink"/>
                  <w:rFonts w:ascii="Times New Roman" w:hAnsi="Times New Roman"/>
                  <w:color w:val="0000FF"/>
                  <w:sz w:val="20"/>
                  <w:u w:val="single"/>
                </w:rPr>
                <w:t>Consent of Grant Thornton LLP</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jc w:val="left"/>
              <w:rPr/>
            </w:pPr>
            <w:hyperlink w:anchor="aplm-ex15_2.htm">
              <w:r>
                <w:rPr>
                  <w:rStyle w:val="InternetLink"/>
                  <w:rFonts w:ascii="Times New Roman" w:hAnsi="Times New Roman"/>
                  <w:color w:val="0000FF"/>
                  <w:sz w:val="20"/>
                  <w:u w:val="single"/>
                </w:rPr>
                <w:t>Consent of Marcum Asia CPAs LLP</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jc w:val="left"/>
              <w:rPr/>
            </w:pPr>
            <w:hyperlink r:id="rId29">
              <w:r>
                <w:rPr>
                  <w:rStyle w:val="InternetLink"/>
                  <w:rFonts w:ascii="Times New Roman" w:hAnsi="Times New Roman"/>
                  <w:color w:val="0000FF"/>
                  <w:sz w:val="20"/>
                  <w:u w:val="single"/>
                </w:rPr>
                <w:t>Policy for the Recovery of Erroneously Awarded Compensation</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001-41670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Certain confidential portions (indicated by brackets and asterisks) have been omitted from this exhibit. The Registrant agrees to furnish an unredacted copy of the exhibit to the SEC upon its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representations and warranties as characterizations of the actual state of facts. Moreover, information concerning the subject matter of any such representations and warranties may have changed since the date of such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40" w:name="signatures"/>
      <w:bookmarkEnd w:id="4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hereby certifies that it meets all of the requirements for filing on Form 20-F and that it has duly caused and authorized the undersigned to sign this annual report on its behalf.</w:t>
      </w:r>
    </w:p>
    <w:p>
      <w:pPr>
        <w:pStyle w:val="TextBody"/>
        <w:bidi w:val="0"/>
        <w:jc w:val="left"/>
        <w:rPr/>
      </w:pPr>
      <w:r>
        <w:rPr/>
        <w:t> </w:t>
      </w:r>
    </w:p>
    <w:tbl>
      <w:tblPr>
        <w:tblW w:w="5441" w:type="dxa"/>
        <w:jc w:val="left"/>
        <w:tblInd w:w="0" w:type="dxa"/>
        <w:tblLayout w:type="fixed"/>
        <w:tblCellMar>
          <w:top w:w="28" w:type="dxa"/>
          <w:left w:w="28" w:type="dxa"/>
          <w:bottom w:w="28" w:type="dxa"/>
          <w:right w:w="28" w:type="dxa"/>
        </w:tblCellMar>
      </w:tblPr>
      <w:tblGrid>
        <w:gridCol w:w="1786"/>
        <w:gridCol w:w="109"/>
        <w:gridCol w:w="146"/>
        <w:gridCol w:w="109"/>
        <w:gridCol w:w="631"/>
        <w:gridCol w:w="109"/>
        <w:gridCol w:w="255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APOLLOMICS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20"/>
              </w:rPr>
            </w:pPr>
            <w:r>
              <w:rPr>
                <w:rFonts w:ascii="Times New Roman" w:hAnsi="Times New Roman"/>
                <w:color w:val="000000"/>
                <w:sz w:val="20"/>
              </w:rPr>
              <w:t>/s/ Hung-Wen (Howard) Chen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Hung-Wen (Howard) Chen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bookmarkStart w:id="41" w:name="index_the_consolidated_financial_statem"/>
      <w:bookmarkEnd w:id="41"/>
      <w:r>
        <w:rPr>
          <w:rFonts w:ascii="Times New Roman" w:hAnsi="Times New Roman"/>
          <w:b/>
          <w:color w:val="000000"/>
          <w:sz w:val="20"/>
        </w:rPr>
        <w:t>INDEX TO THE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20"/>
        <w:gridCol w:w="146"/>
        <w:gridCol w:w="1039"/>
      </w:tblGrid>
      <w:tr>
        <w:trPr/>
        <w:tc>
          <w:tcPr>
            <w:tcW w:w="9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Page(s)</w:t>
            </w:r>
          </w:p>
        </w:tc>
      </w:tr>
      <w:tr>
        <w:trPr/>
        <w:tc>
          <w:tcPr>
            <w:tcW w:w="9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Report of Independent Registered Public Accounting Firm</w:t>
            </w:r>
            <w:r>
              <w:rPr>
                <w:rFonts w:ascii="Times New Roman" w:hAnsi="Times New Roman"/>
                <w:color w:val="000000"/>
                <w:sz w:val="20"/>
              </w:rPr>
              <w:t> (PCAOB ID No.5395)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Report of Independent Registered Public Accounting Firm</w:t>
            </w:r>
            <w:r>
              <w:rPr>
                <w:rFonts w:ascii="Times New Roman" w:hAnsi="Times New Roman"/>
                <w:color w:val="000000"/>
                <w:sz w:val="20"/>
              </w:rPr>
              <w:t> (PCAOB ID No.248)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financial_pos">
              <w:r>
                <w:rPr>
                  <w:rStyle w:val="InternetLink"/>
                  <w:rFonts w:ascii="Times New Roman" w:hAnsi="Times New Roman"/>
                  <w:color w:val="0000FF"/>
                  <w:sz w:val="20"/>
                  <w:u w:val="single"/>
                </w:rPr>
                <w:t>Consolidated Statements of Financial Position as of December 31, 2024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profit_or">
              <w:r>
                <w:rPr>
                  <w:rStyle w:val="InternetLink"/>
                  <w:rFonts w:ascii="Times New Roman" w:hAnsi="Times New Roman"/>
                  <w:color w:val="0000FF"/>
                  <w:sz w:val="20"/>
                  <w:u w:val="single"/>
                </w:rPr>
                <w:t>Consolidated Statements of Loss and Other Comprehensive Loss for the years ended December 31, 2023, 2024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hanges_in">
              <w:r>
                <w:rPr>
                  <w:rStyle w:val="InternetLink"/>
                  <w:rFonts w:ascii="Times New Roman" w:hAnsi="Times New Roman"/>
                  <w:color w:val="0000FF"/>
                  <w:sz w:val="20"/>
                  <w:u w:val="single"/>
                </w:rPr>
                <w:t>Consolidated Statements of Changes in Shareholders’ (Deficit) / Equity for the years ended December 31, 2023, 2024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for the years ended December 31, 2023, 2024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F-10 – F-43</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0" w:type="dxa"/>
            <w:tcBorders/>
            <w:tcMar>
              <w:top w:w="0" w:type="dxa"/>
              <w:left w:w="0" w:type="dxa"/>
              <w:bottom w:w="0" w:type="dxa"/>
              <w:right w:w="0" w:type="dxa"/>
            </w:tcMar>
            <w:vAlign w:val="center"/>
          </w:tcPr>
          <w:p>
            <w:pPr>
              <w:pStyle w:val="TableContents"/>
              <w:bidi w:val="0"/>
              <w:spacing w:before="0" w:after="283"/>
              <w:jc w:val="left"/>
              <w:rPr/>
            </w:pPr>
            <w:hyperlink w:anchor="schedule_i_additional_financial_inform">
              <w:r>
                <w:rPr>
                  <w:rStyle w:val="InternetLink"/>
                  <w:rFonts w:ascii="Times New Roman" w:hAnsi="Times New Roman"/>
                  <w:color w:val="0000FF"/>
                  <w:sz w:val="20"/>
                  <w:u w:val="single"/>
                </w:rPr>
                <w:t>Schedule I – Additional Financial Information of Parent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F-45 – F-47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181225" cy="342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0"/>
                    <a:stretch>
                      <a:fillRect/>
                    </a:stretch>
                  </pic:blipFill>
                  <pic:spPr bwMode="auto">
                    <a:xfrm>
                      <a:off x="0" y="0"/>
                      <a:ext cx="2181225" cy="3429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To the Shareholders and Board of Directors of</w:t>
      </w:r>
    </w:p>
    <w:p>
      <w:pPr>
        <w:pStyle w:val="TextBody"/>
        <w:bidi w:val="0"/>
        <w:jc w:val="both"/>
        <w:rPr>
          <w:rFonts w:ascii="Times New Roman" w:hAnsi="Times New Roman"/>
          <w:b/>
          <w:color w:val="000000"/>
          <w:sz w:val="22"/>
        </w:rPr>
      </w:pPr>
      <w:r>
        <w:rPr>
          <w:rFonts w:ascii="Times New Roman" w:hAnsi="Times New Roman"/>
          <w:b/>
          <w:color w:val="000000"/>
          <w:sz w:val="22"/>
        </w:rPr>
        <w:t>Apollomics Inc.</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Opinion on the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We have audited the accompanying consolidated statement of financial position of Apollomics Inc. (the “Company”) as of December 31, 2025, the related consolidated statements of loss and other comprehensive loss</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shareholders’ deficit and cash flows for the year then ended, and the related notes and schedules</w:t>
      </w:r>
      <w:r>
        <w:rPr>
          <w:rFonts w:ascii="Times New Roman" w:hAnsi="Times New Roman"/>
          <w:color w:val="000000"/>
          <w:sz w:val="20"/>
        </w:rPr>
        <w:t xml:space="preserve"> </w:t>
      </w:r>
      <w:r>
        <w:rPr>
          <w:rFonts w:ascii="Times New Roman" w:hAnsi="Times New Roman"/>
          <w:color w:val="000000"/>
          <w:sz w:val="22"/>
        </w:rPr>
        <w:t>(collectively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International Financial Reporting Standards (“IFRSs”) as issued by the International Accounting Standards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Explanatory Paragraph – Going Concern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accompanying financial statements have been prepared assuming that the Company will continue as a going concern. As more fully described in Note 2, the Company has a significant working capital deficit,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Basis for Opinion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Marcum Asia CPAs LLP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Marcum Asia CPAs LLP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 have served as the Company’s auditor since 2025.</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New York, New York</w:t>
      </w:r>
    </w:p>
    <w:p>
      <w:pPr>
        <w:pStyle w:val="TextBody"/>
        <w:bidi w:val="0"/>
        <w:jc w:val="left"/>
        <w:rPr>
          <w:rFonts w:ascii="Times New Roman" w:hAnsi="Times New Roman"/>
          <w:sz w:val="20"/>
        </w:rPr>
      </w:pPr>
      <w:r>
        <w:rPr>
          <w:rFonts w:ascii="Times New Roman" w:hAnsi="Times New Roman"/>
          <w:color w:val="000000"/>
          <w:sz w:val="22"/>
        </w:rPr>
        <w:t>April 24,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both"/>
        <w:rPr/>
      </w:pPr>
      <w:r>
        <w:rPr/>
        <w:drawing>
          <wp:inline distT="0" distB="0" distL="0" distR="0">
            <wp:extent cx="1552575" cy="295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1"/>
                    <a:stretch>
                      <a:fillRect/>
                    </a:stretch>
                  </pic:blipFill>
                  <pic:spPr bwMode="auto">
                    <a:xfrm>
                      <a:off x="0" y="0"/>
                      <a:ext cx="1552575" cy="295275"/>
                    </a:xfrm>
                    <a:prstGeom prst="rect">
                      <a:avLst/>
                    </a:prstGeom>
                  </pic:spPr>
                </pic:pic>
              </a:graphicData>
            </a:graphic>
          </wp:inline>
        </w:drawing>
      </w:r>
    </w:p>
    <w:p>
      <w:pPr>
        <w:pStyle w:val="TextBody"/>
        <w:bidi w:val="0"/>
        <w:jc w:val="left"/>
        <w:rPr>
          <w:rFonts w:ascii="Arial" w:hAnsi="Arial"/>
          <w:b/>
          <w:color w:val="000000"/>
          <w:sz w:val="18"/>
        </w:rPr>
      </w:pPr>
      <w:r>
        <w:rPr>
          <w:rFonts w:ascii="Arial" w:hAnsi="Arial"/>
          <w:b/>
          <w:color w:val="000000"/>
          <w:sz w:val="18"/>
        </w:rPr>
        <w:t>REPORT OF INDEPENDENT REGISTERED PUBLIC ACCOUNTING FIRM</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Board of Directors and Shareholders</w:t>
      </w:r>
    </w:p>
    <w:p>
      <w:pPr>
        <w:pStyle w:val="TextBody"/>
        <w:bidi w:val="0"/>
        <w:spacing w:before="0" w:after="160"/>
        <w:jc w:val="left"/>
        <w:rPr>
          <w:rFonts w:ascii="Arial" w:hAnsi="Arial"/>
          <w:color w:val="000000"/>
          <w:sz w:val="18"/>
        </w:rPr>
      </w:pPr>
      <w:r>
        <w:rPr>
          <w:rFonts w:ascii="Arial" w:hAnsi="Arial"/>
          <w:color w:val="000000"/>
          <w:sz w:val="18"/>
        </w:rPr>
        <w:t>Apollomics Inc.</w:t>
      </w:r>
    </w:p>
    <w:p>
      <w:pPr>
        <w:pStyle w:val="TextBody"/>
        <w:bidi w:val="0"/>
        <w:jc w:val="left"/>
        <w:rPr>
          <w:rFonts w:ascii="Times New Roman" w:hAnsi="Times New Roman"/>
          <w:sz w:val="20"/>
        </w:rPr>
      </w:pPr>
      <w:r>
        <w:rPr>
          <w:rFonts w:ascii="Arial" w:hAnsi="Arial"/>
          <w:b/>
          <w:color w:val="000000"/>
          <w:sz w:val="18"/>
        </w:rPr>
        <w:t>Opinion on the financial statements</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We have audited the accompanying consolidated statements of financial position of Apollomics Inc. and its subsidiaries (the “Company”) as of December 31, 2024, the related consolidated statements of loss and other comprehensive loss, shareholders’ (deficit) / equity, and cash flows for each of the two years in the period ended December 31, 2024, and the related notes and financial statement schedules included under Schedule I (collectively referred to as the “consolidated financial statements”). In our opinion, the consolidated financial statements present fairly, in all material respects, the financial position of the Company as of December 31, 2024, and the results of its operations and its cash flows for each of the two years in the period ended December 31, 2024, in conformity with IFRS accounting standards issued by the International Accounting Standards Board.</w:t>
      </w:r>
    </w:p>
    <w:p>
      <w:pPr>
        <w:pStyle w:val="TextBody"/>
        <w:bidi w:val="0"/>
        <w:jc w:val="left"/>
        <w:rPr>
          <w:rFonts w:ascii="Times New Roman" w:hAnsi="Times New Roman"/>
          <w:sz w:val="20"/>
        </w:rPr>
      </w:pPr>
      <w:r>
        <w:rPr>
          <w:rFonts w:ascii="Arial" w:hAnsi="Arial"/>
          <w:b/>
          <w:color w:val="000000"/>
          <w:sz w:val="18"/>
        </w:rPr>
        <w:t>Basis for opinion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18"/>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440" w:after="283"/>
        <w:jc w:val="left"/>
        <w:rPr/>
      </w:pPr>
      <w:r>
        <w:rPr/>
        <w:t> </w:t>
      </w:r>
    </w:p>
    <w:p>
      <w:pPr>
        <w:pStyle w:val="TextBody"/>
        <w:bidi w:val="0"/>
        <w:spacing w:before="0" w:after="284"/>
        <w:jc w:val="left"/>
        <w:rPr>
          <w:rFonts w:ascii="Arial" w:hAnsi="Arial"/>
          <w:color w:val="000000"/>
          <w:sz w:val="18"/>
        </w:rPr>
      </w:pPr>
      <w:r>
        <w:rPr>
          <w:rFonts w:ascii="Arial" w:hAnsi="Arial"/>
          <w:color w:val="000000"/>
          <w:sz w:val="18"/>
        </w:rPr>
        <w:t>/s/ GRANT THORNTON LLP</w:t>
      </w:r>
    </w:p>
    <w:p>
      <w:pPr>
        <w:pStyle w:val="TextBody"/>
        <w:bidi w:val="0"/>
        <w:spacing w:before="0" w:after="284"/>
        <w:jc w:val="left"/>
        <w:rPr>
          <w:rFonts w:ascii="Arial" w:hAnsi="Arial"/>
          <w:color w:val="000000"/>
          <w:sz w:val="18"/>
        </w:rPr>
      </w:pPr>
      <w:r>
        <w:rPr>
          <w:rFonts w:ascii="Arial" w:hAnsi="Arial"/>
          <w:color w:val="000000"/>
          <w:sz w:val="18"/>
        </w:rPr>
        <w:t>We have served as the Company’s auditor from 2023 to 2024.</w:t>
      </w:r>
    </w:p>
    <w:p>
      <w:pPr>
        <w:pStyle w:val="TextBody"/>
        <w:bidi w:val="0"/>
        <w:jc w:val="left"/>
        <w:rPr>
          <w:rFonts w:ascii="Arial" w:hAnsi="Arial"/>
          <w:color w:val="000000"/>
          <w:sz w:val="18"/>
        </w:rPr>
      </w:pPr>
      <w:r>
        <w:rPr>
          <w:rFonts w:ascii="Arial" w:hAnsi="Arial"/>
          <w:color w:val="000000"/>
          <w:sz w:val="18"/>
        </w:rPr>
        <w:t>San Francisco, California</w:t>
      </w:r>
    </w:p>
    <w:p>
      <w:pPr>
        <w:pStyle w:val="TextBody"/>
        <w:bidi w:val="0"/>
        <w:spacing w:before="0" w:after="120"/>
        <w:jc w:val="left"/>
        <w:rPr>
          <w:rFonts w:ascii="Arial" w:hAnsi="Arial"/>
          <w:color w:val="000000"/>
          <w:sz w:val="18"/>
        </w:rPr>
      </w:pPr>
      <w:r>
        <w:rPr>
          <w:rFonts w:ascii="Arial" w:hAnsi="Arial"/>
          <w:color w:val="000000"/>
          <w:sz w:val="18"/>
        </w:rPr>
        <w:t>April 3,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bookmarkStart w:id="42" w:name="consolidated_statements_of_financial_pos"/>
      <w:bookmarkEnd w:id="42"/>
      <w:r>
        <w:rPr>
          <w:rFonts w:ascii="Times New Roman" w:hAnsi="Times New Roman"/>
          <w:b/>
          <w:color w:val="000000"/>
          <w:sz w:val="20"/>
        </w:rPr>
        <w:t>CONSOLIDATED STATEMENTS OF FINANCIAL POSITION</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w:t>
      </w:r>
    </w:p>
    <w:p>
      <w:pPr>
        <w:pStyle w:val="TextBody"/>
        <w:bidi w:val="0"/>
        <w:jc w:val="left"/>
        <w:rPr/>
      </w:pPr>
      <w:r>
        <w:rPr/>
        <w:t> </w:t>
      </w:r>
    </w:p>
    <w:tbl>
      <w:tblPr>
        <w:tblW w:w="9246" w:type="dxa"/>
        <w:jc w:val="left"/>
        <w:tblInd w:w="0" w:type="dxa"/>
        <w:tblLayout w:type="fixed"/>
        <w:tblCellMar>
          <w:top w:w="28" w:type="dxa"/>
          <w:left w:w="28" w:type="dxa"/>
          <w:bottom w:w="28" w:type="dxa"/>
          <w:right w:w="28" w:type="dxa"/>
        </w:tblCellMar>
      </w:tblPr>
      <w:tblGrid>
        <w:gridCol w:w="5616"/>
        <w:gridCol w:w="146"/>
        <w:gridCol w:w="661"/>
        <w:gridCol w:w="146"/>
        <w:gridCol w:w="146"/>
        <w:gridCol w:w="841"/>
        <w:gridCol w:w="166"/>
        <w:gridCol w:w="146"/>
        <w:gridCol w:w="146"/>
        <w:gridCol w:w="841"/>
        <w:gridCol w:w="391"/>
      </w:tblGrid>
      <w:tr>
        <w:trPr/>
        <w:tc>
          <w:tcPr>
            <w:tcW w:w="5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prepayments and deferred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payables and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 (liabilities)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 less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at fair value through profit and loss (“FVTPL”)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(liabilities)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bookmarkStart w:id="43" w:name="consolidated_statements_of_profit_or"/>
      <w:bookmarkEnd w:id="43"/>
      <w:r>
        <w:rPr>
          <w:rFonts w:ascii="Times New Roman" w:hAnsi="Times New Roman"/>
          <w:b/>
          <w:color w:val="000000"/>
          <w:sz w:val="20"/>
        </w:rPr>
        <w:t>CONSOLIDATED STATEMENTS OF LOSS AND OTHER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U.S. Dollars (“$”), except for per share data)</w:t>
      </w:r>
    </w:p>
    <w:p>
      <w:pPr>
        <w:pStyle w:val="TextBody"/>
        <w:bidi w:val="0"/>
        <w:jc w:val="left"/>
        <w:rPr/>
      </w:pPr>
      <w:r>
        <w:rPr/>
        <w:t> </w:t>
      </w:r>
    </w:p>
    <w:tbl>
      <w:tblPr>
        <w:tblW w:w="9975" w:type="dxa"/>
        <w:jc w:val="left"/>
        <w:tblInd w:w="0" w:type="dxa"/>
        <w:tblLayout w:type="fixed"/>
        <w:tblCellMar>
          <w:top w:w="28" w:type="dxa"/>
          <w:left w:w="28" w:type="dxa"/>
          <w:bottom w:w="28" w:type="dxa"/>
          <w:right w:w="28" w:type="dxa"/>
        </w:tblCellMar>
      </w:tblPr>
      <w:tblGrid>
        <w:gridCol w:w="5356"/>
        <w:gridCol w:w="146"/>
        <w:gridCol w:w="661"/>
        <w:gridCol w:w="146"/>
        <w:gridCol w:w="146"/>
        <w:gridCol w:w="736"/>
        <w:gridCol w:w="166"/>
        <w:gridCol w:w="146"/>
        <w:gridCol w:w="146"/>
        <w:gridCol w:w="736"/>
        <w:gridCol w:w="166"/>
        <w:gridCol w:w="146"/>
        <w:gridCol w:w="146"/>
        <w:gridCol w:w="841"/>
        <w:gridCol w:w="291"/>
      </w:tblGrid>
      <w:tr>
        <w:trPr/>
        <w:tc>
          <w:tcPr>
            <w:tcW w:w="5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(losses)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financial assets at FVTPL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financial liabilities at FVTPL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convertible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and total comprehensive loss for the period, net of taxation,</w:t>
              <w:br/>
              <w:t>   attributable to owners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bookmarkStart w:id="44" w:name="consolidated_statements_of_changes_in"/>
      <w:bookmarkEnd w:id="44"/>
      <w:r>
        <w:rPr>
          <w:rFonts w:ascii="Times New Roman" w:hAnsi="Times New Roman"/>
          <w:b/>
          <w:color w:val="000000"/>
          <w:sz w:val="20"/>
        </w:rPr>
        <w:t>CONSOLIDATED STATEMENTS OF CHANGES IN SHAREHOLDERS’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7"/>
        <w:gridCol w:w="146"/>
        <w:gridCol w:w="146"/>
        <w:gridCol w:w="691"/>
        <w:gridCol w:w="146"/>
        <w:gridCol w:w="146"/>
        <w:gridCol w:w="156"/>
        <w:gridCol w:w="370"/>
        <w:gridCol w:w="146"/>
        <w:gridCol w:w="146"/>
        <w:gridCol w:w="147"/>
        <w:gridCol w:w="485"/>
        <w:gridCol w:w="151"/>
        <w:gridCol w:w="146"/>
        <w:gridCol w:w="156"/>
        <w:gridCol w:w="370"/>
        <w:gridCol w:w="151"/>
        <w:gridCol w:w="146"/>
        <w:gridCol w:w="146"/>
        <w:gridCol w:w="586"/>
        <w:gridCol w:w="151"/>
        <w:gridCol w:w="146"/>
        <w:gridCol w:w="146"/>
        <w:gridCol w:w="436"/>
        <w:gridCol w:w="146"/>
        <w:gridCol w:w="146"/>
        <w:gridCol w:w="163"/>
        <w:gridCol w:w="573"/>
        <w:gridCol w:w="151"/>
        <w:gridCol w:w="146"/>
        <w:gridCol w:w="149"/>
        <w:gridCol w:w="647"/>
        <w:gridCol w:w="151"/>
        <w:gridCol w:w="146"/>
        <w:gridCol w:w="146"/>
        <w:gridCol w:w="631"/>
        <w:gridCol w:w="197"/>
      </w:tblGrid>
      <w:tr>
        <w:trPr/>
        <w:tc>
          <w:tcPr>
            <w:tcW w:w="1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Reserves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Share-based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br/>
              <w:t>premium</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payment</w:t>
              <w:br/>
              <w:t>reserve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288,102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10,830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(474,600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(448,120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Loss and total 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(172,601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Forfeiture of vested share options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of share options (Note 25 and 26)¹</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imes New Roman" w:hAnsi="Times New Roman"/>
                <w:color w:val="000000"/>
                <w:sz w:val="13"/>
              </w:rPr>
              <w:t xml:space="preserve">Restricted share awards vested (Notes 24 and 25) </w:t>
            </w: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Business combination, net of redemptions (Note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Conversion of pre-closing Apollomics convertible</w:t>
              <w:br/>
              <w:t>   preferred shares into Post-Closing Apollomics</w:t>
              <w:br/>
              <w:t>   Ordinary Shares (Note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544,210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588,285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588,291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IFRS 2 listing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45,524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45,524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Portion of PIPE issuance costs allocated to PIPE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Post-closing Apollomics Class B Ordinary Shares issued</w:t>
              <w:br/>
              <w:t>   to PIPE Investors, net of transaction costs (Note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Reclassification from equity to non-current liabilities</w:t>
              <w:br/>
              <w:t>   for Maxpro Warrants assumed by Apollomics upon</w:t>
              <w:br/>
              <w:t>   Closing ³</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(7,105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post-closing Apollomics Class A ordinary</w:t>
              <w:br/>
              <w:t>   shares upon the conversion of post-closing Apollomics</w:t>
              <w:br/>
              <w:t>   Series A Preferred Shares (Note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21,350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21,350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Recognition of equity-settled share-based payment</w:t>
              <w:br/>
              <w:t>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12,686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895,051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661,474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23,281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(646,965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41,234</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Loss and 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(53,858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(53,858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Ordinary Shares issued to PIPE Investors,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5,049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of share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Ordinary Shares issued to employees for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Ordinary Shares issued to board members for board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Recognition of equity-settled share-based payment</w:t>
              <w:br/>
              <w:t>   (Note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1,102,792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666,528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35,713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(700,823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4,864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Loss and total 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(10,939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Ordinary Shares issued to PIPE Investors, net of transaction costs</w:t>
              <w:br/>
              <w:t>  (Note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1,042,803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3,859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of share options (Note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Ordinary Shares issued to board members for board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Recognition of equity-settled share-based payment</w:t>
              <w:br/>
              <w:t>  (Note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(979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2,147,105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670,384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34,734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(711,762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(3,188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bl>
    <w:p>
      <w:pPr>
        <w:pStyle w:val="TextBody"/>
        <w:pBdr>
          <w:bottom w:val="single" w:sz="5"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 xml:space="preserve">Note: </w:t>
      </w:r>
      <w:r>
        <w:rPr>
          <w:rFonts w:ascii="Times New Roman" w:hAnsi="Times New Roman"/>
          <w:color w:val="000000"/>
          <w:sz w:val="20"/>
        </w:rPr>
        <w:t>Other reserve included amounts transferred from share-based payment reserve when the share options are exercised or the restricted shares are vested.</w:t>
      </w:r>
    </w:p>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total number of shares issued from the exercise of stock options consisted of the issuance of 4,358 Pre-Closing Apollomics Ordinary Shares from stock options exercised between January 1, 2023 to March 28, 2023. These Pre-Closing Apollomics Ordinary Shares were exchanged for 312 Post-Closing Apollomics Ordinary Shares, in accordance with the Exchange Ratio upon the Closing of the Business Combination. The total number of shares issued from the exercise of stock options consisted of the issuance of 312 Post-Closing Apollomics Ordinary Shares between March 29, 2023 to December 31, 2023, totaling 624 exercise of stock options for the year ended December 31, 2023.</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All unvested restricted shares were milestone-based restricted shares held by the Chief Executive Officer of Apollomics which vested upon the Closing of the Business Combination.</w:t>
      </w:r>
    </w:p>
    <w:p>
      <w:pPr>
        <w:pStyle w:val="TextBody"/>
        <w:bidi w:val="0"/>
        <w:spacing w:before="120" w:after="283"/>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The Maxpro Warrants assumed by Apollomics upon Closing were reclassified from equity to non-current liabilities due to a net share settlement feature, which precludes equity classification under IAS 32. The reclassification resulted in a reduction to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premium) of $7.1 million (as the warrants are no longer equity-classified upon Closing), an increase to warrant liability of $1.3 million, and a decrease to accumulated losses of $5.8 million. The decrease to accumulated losses is a result of remeasurement of the warrants as a result of their liability classification under IAS 32. As the $5.8 million in accumulated losses relates to Maxpro, these accumulated losses are reclassified to share premium (along with all other historical accumulated losses of Maxpro) as a result of the Business Combination and this reduction to share premium is included in the line titled, “Business Combination, net of redemptions” in the consolidated statements of changes in shareholders’ deficit above. As such, the net impact of the warrant reclassification on the consolidated statements of changes in shareholders’ deficit is to reduce share premium by $1.3 million ($7.1 million less $5.8 million) and the impact of the warrant reclassification on the consolidated statement of financial position as of December 31, 2023 is to increase warrant liabilities by $1.3 million and reduce share premium by $1.3 million. There is no impact to the consolidated statements of loss and other comprehensive loss as a result of the reclassification of the Maxpro Warrants outside of the recognition of the change in fair value of the Maxpro Warrants from March 29, 2023 to December 31, 2023.Other reserve included amounts transferred from share-based payment reserve when the share options are exercised or the restricted shares are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bookmarkStart w:id="45" w:name="consolidated_statements_of_cash_flows"/>
      <w:bookmarkEnd w:id="45"/>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w:t>
      </w:r>
    </w:p>
    <w:p>
      <w:pPr>
        <w:pStyle w:val="TextBody"/>
        <w:bidi w:val="0"/>
        <w:jc w:val="left"/>
        <w:rPr/>
      </w:pPr>
      <w:r>
        <w:rPr/>
        <w:t> </w:t>
      </w:r>
    </w:p>
    <w:tbl>
      <w:tblPr>
        <w:tblW w:w="9753" w:type="dxa"/>
        <w:jc w:val="left"/>
        <w:tblInd w:w="0" w:type="dxa"/>
        <w:tblLayout w:type="fixed"/>
        <w:tblCellMar>
          <w:top w:w="28" w:type="dxa"/>
          <w:left w:w="28" w:type="dxa"/>
          <w:bottom w:w="28" w:type="dxa"/>
          <w:right w:w="28" w:type="dxa"/>
        </w:tblCellMar>
      </w:tblPr>
      <w:tblGrid>
        <w:gridCol w:w="6061"/>
        <w:gridCol w:w="146"/>
        <w:gridCol w:w="146"/>
        <w:gridCol w:w="661"/>
        <w:gridCol w:w="166"/>
        <w:gridCol w:w="146"/>
        <w:gridCol w:w="146"/>
        <w:gridCol w:w="661"/>
        <w:gridCol w:w="166"/>
        <w:gridCol w:w="146"/>
        <w:gridCol w:w="146"/>
        <w:gridCol w:w="751"/>
        <w:gridCol w:w="4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of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loss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Realized foreign currency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change of financial liabilities at FVTPL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change of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IFRS 2 listing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Portion of PIPE issuance costs allocated to PIPE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payment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foreign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cash flows before movements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decrease in deposits, prepayments and deferred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(decrease) in other payables and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Taxation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redemption of long term time deposits with original maturity over</w:t>
              <w:br/>
              <w:t>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redemption of time deposits with original maturity over three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disposal of financial assets at FVTPL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for rental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Refund of rental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PIPE Financing and Business Combination,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underwriting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bank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bank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issue of shares upon exercise of 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Effects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32,056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60"/>
        <w:gridCol w:w="146"/>
        <w:gridCol w:w="376"/>
        <w:gridCol w:w="146"/>
        <w:gridCol w:w="146"/>
        <w:gridCol w:w="511"/>
        <w:gridCol w:w="146"/>
        <w:gridCol w:w="146"/>
        <w:gridCol w:w="146"/>
        <w:gridCol w:w="691"/>
        <w:gridCol w:w="391"/>
      </w:tblGrid>
      <w:tr>
        <w:trPr/>
        <w:tc>
          <w:tcPr>
            <w:tcW w:w="7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share awards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Conversion of pre-closing Apollomics convertible preferred shares into Post-Closing Apollomics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588,285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Initial value of warrant liabilities arising from Maxpro note conversion and PIPE Financing in connection with the Closing Date of the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Reclassification from equity to non-current liabilities for Maxpro Warrants assumed by Apollomics upon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Reconciliation of movements in Right of use assets /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to employees for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Cashless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jc w:val="left"/>
        <w:rPr/>
      </w:pPr>
      <w:bookmarkStart w:id="46" w:name="cash_flow_end"/>
      <w:bookmarkEnd w:id="46"/>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bookmarkStart w:id="47" w:name="notes_to_consolidated_financial_statemen"/>
      <w:bookmarkEnd w:id="47"/>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GENERAL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Apollomics Inc. (“Apollomics” or the “Company”) is a clinical-stage biotechnology company focused on discovering and developing oncology therapies to address unmet medical needs. Since the Company’s founding in 2015, the Company has built a pipeline of five drug candidates across 10 programs that focus on oncology, of which four drug candidates are in the clinical stage.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originally formed as CB Therapeutics Inc. as a result of a spin-off from Crown Bioscience International, which was completed on December 31, 2015. Prior to December 2015, Crown Bioscience International, through its subsidiaries, was the owner of certain patent rights relating to certain of these drug candidates. In order to focus on its core business, namely providing preclinical contract research organization services, and allow the drug discovery and development related business to be operated and financed separately, Crown Bioscience International spun off its Taiwan subsidiary, Crown Bioscience (Taiwan), and contributed it to the Company. As a result, the Company became the owner of these patent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its U.S. headquarters, the Company also has locations in Australia (Apollomics (Australia) Pty Ltd, formed in November 2016), Hong Kong (Apollomics (Hong Kong) Limited, formed in June 2019) and China (Zhejiang Crownmab Biotech Co. Ltd. and Zhejiang Crown Bochuang Biopharma Co. Ltd., formed in May 2018 and May 2020, respectively). The Company’s headquarters and global drug development team is based in the United States (San Francisco Bay area), and its China drug development team is based in China (Hangzhou and Shanghai).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are presented in U.S. dollars (“$”). The Company's subsidiaries included in the consolidated financial statements are listed below (the Company and its subsidiaries are collectively referred to herein as the “Group”). These consolidated financial statements have been prepared based on the accounting policies which conform with International Financial Reporting Standards (“IFRSs”) as issued by the International Accounting Standards Board (“IASB”) and have been prepared under the assumption the Company operates on a going concern basis.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40"/>
        <w:gridCol w:w="4947"/>
        <w:gridCol w:w="2518"/>
      </w:tblGrid>
      <w:tr>
        <w:trPr/>
        <w:tc>
          <w:tcPr>
            <w:tcW w:w="2740" w:type="dxa"/>
            <w:tcBorders/>
            <w:vAlign w:val="center"/>
          </w:tcPr>
          <w:p>
            <w:pPr>
              <w:pStyle w:val="TableContents"/>
              <w:bidi w:val="0"/>
              <w:spacing w:before="0" w:after="283"/>
              <w:jc w:val="left"/>
              <w:rPr>
                <w:sz w:val="4"/>
                <w:szCs w:val="4"/>
              </w:rPr>
            </w:pPr>
            <w:r>
              <w:rPr>
                <w:sz w:val="4"/>
                <w:szCs w:val="4"/>
              </w:rPr>
            </w:r>
          </w:p>
        </w:tc>
        <w:tc>
          <w:tcPr>
            <w:tcW w:w="494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2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subsidiaries</w:t>
            </w:r>
          </w:p>
        </w:tc>
        <w:tc>
          <w:tcPr>
            <w:tcW w:w="4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Place of incorporation or establishment/operation and date of incorporation/ establishment</w:t>
            </w:r>
          </w:p>
        </w:tc>
        <w:tc>
          <w:tcPr>
            <w:tcW w:w="2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activities</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Apollomics, Inc.</w:t>
            </w:r>
          </w:p>
        </w:tc>
        <w:tc>
          <w:tcPr>
            <w:tcW w:w="4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California, United States </w:t>
              <w:br/>
              <w:t>January 14, 2016</w:t>
            </w:r>
          </w:p>
        </w:tc>
        <w:tc>
          <w:tcPr>
            <w:tcW w:w="2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of drugs</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Apollomics (Australia) Pty. Ltd.</w:t>
            </w:r>
          </w:p>
        </w:tc>
        <w:tc>
          <w:tcPr>
            <w:tcW w:w="4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Melbourne, Australia</w:t>
              <w:br/>
              <w:t>November 4, 2016</w:t>
            </w:r>
          </w:p>
        </w:tc>
        <w:tc>
          <w:tcPr>
            <w:tcW w:w="2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of drugs</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Apollomics (Hong Kong) Limited</w:t>
            </w:r>
          </w:p>
        </w:tc>
        <w:tc>
          <w:tcPr>
            <w:tcW w:w="4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 China</w:t>
              <w:br/>
              <w:t>June 24, 2019</w:t>
            </w:r>
          </w:p>
        </w:tc>
        <w:tc>
          <w:tcPr>
            <w:tcW w:w="2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and administrative services</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Zhejiang Crownmab Biotech Co., Ltd.</w:t>
            </w:r>
          </w:p>
        </w:tc>
        <w:tc>
          <w:tcPr>
            <w:tcW w:w="4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Hangzhou, China </w:t>
              <w:br/>
              <w:t>May 29, 2018</w:t>
            </w:r>
          </w:p>
        </w:tc>
        <w:tc>
          <w:tcPr>
            <w:tcW w:w="2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of drugs</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Zhejiang Crown Bochuang Biopharma Co., Ltd.</w:t>
            </w:r>
          </w:p>
        </w:tc>
        <w:tc>
          <w:tcPr>
            <w:tcW w:w="4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Hangzhou, China </w:t>
              <w:br/>
              <w:t>May 29, 2020</w:t>
            </w:r>
          </w:p>
        </w:tc>
        <w:tc>
          <w:tcPr>
            <w:tcW w:w="2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of drugs</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Max SPAC Merger Sub, Inc.</w:t>
            </w:r>
          </w:p>
        </w:tc>
        <w:tc>
          <w:tcPr>
            <w:tcW w:w="4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br/>
              <w:t>August 19, 2022</w:t>
            </w:r>
          </w:p>
        </w:tc>
        <w:tc>
          <w:tcPr>
            <w:tcW w:w="2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holding</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BASIS OF PREPARATION OF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have been prepared based on the accounting policies set out in Note 4 which conform with International Financial Reporting Standards (“IFRSs”) as issued by the International Accounting Standards Board (“IASB”).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Group has incurred recurring losses and negative cash flows from operations since inception and had an accumulated loss of $711.8 million as of December 31, 2025. The Group recorded net liabilities of $(3.2) million as of December 31, 2025. The Group regularly monitors its current and expected liquidity requirements and, as needed, updates its operating plans, to ensure that it maintains sufficient cash balances to meet its liquidity requirements in the short and long term.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Based on our evaluation of conditions and events as of December 31, 2025, management has determined that substantial doubt exists about the Company’s ability to continue as a going concern. As of that date, we had cash and cash equivalents of $3.3 million, a history of recurring losses and negative shareholders’ equity, and limited liquidity relative to our operating requirements. Although we implemented cost-reduction initiatives beginning in early 2024 and continuing through 2025, and expect liquidity support from financing activities and strategic partnerships, our existing cash resources are not sufficient to meet our obligations as they come due for at least twelve months from the end of the reporting period. Management’s plans to address this shortfall include raising additional capital through equity or debt financing and generating cash inflows from strategic partnerships; however, these plans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not contractually committed, are subject to external factors and there can be no assurance that it will be available on acceptable terms, or at all. These conditions indicate the existence of material uncertainties that may cast substantial doubt on the Company’s ability to continue as a going concern.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Notwithstanding these material uncertainties, the accompanying financial statements have been prepared on a going concern basis of accounting and do not include any adjustments to the carrying amounts and classification of assets and liabilities that may be necessary in the event that the Company is no longer able to continue its operations as a going concern.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a reverse stock split of 100-to-1 effective on November 14, 2024, all shares and notes thereto have been retroactively adjusted for all periods presented to give effect to this reverse stock split.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NEW STANDARDS, AMENDMENTS AND INTERPRETATIONS ISSUED BY THE IASB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New accounting standards, interpretations, and amendments adopted by the Group starting January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purposes of preparing and presenting the consolidated financial statements, the Group has consistently applied the accounting policies which conform with the IFRSs and International Accounting Standards (“IASs”). The following new accounting standards, interpretations and amendments were adopted starting January 1, 2024:</w:t>
      </w:r>
    </w:p>
    <w:p>
      <w:pPr>
        <w:pStyle w:val="TextBody"/>
        <w:bidi w:val="0"/>
        <w:spacing w:before="120" w:after="60"/>
        <w:jc w:val="left"/>
        <w:rPr>
          <w:color w:val="000000"/>
        </w:rPr>
      </w:pPr>
      <w:r>
        <w:rPr>
          <w:color w:val="000000"/>
        </w:rPr>
        <w:t>•</w:t>
      </w:r>
    </w:p>
    <w:p>
      <w:pPr>
        <w:pStyle w:val="TextBody"/>
        <w:bidi w:val="0"/>
        <w:spacing w:before="120" w:after="60"/>
        <w:jc w:val="left"/>
        <w:rPr>
          <w:rFonts w:ascii="Times New Roman" w:hAnsi="Times New Roman"/>
          <w:sz w:val="20"/>
        </w:rPr>
      </w:pPr>
      <w:r>
        <w:rPr>
          <w:rFonts w:ascii="Times New Roman" w:hAnsi="Times New Roman"/>
          <w:color w:val="000000"/>
          <w:sz w:val="20"/>
        </w:rPr>
        <w:t xml:space="preserve">Amendments to IFRS 3 - </w:t>
      </w:r>
      <w:r>
        <w:rPr>
          <w:rFonts w:ascii="Times New Roman" w:hAnsi="Times New Roman"/>
          <w:i/>
          <w:color w:val="000000"/>
          <w:sz w:val="20"/>
        </w:rPr>
        <w:t>Reference to the Conceptual Framework</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sz w:val="20"/>
        </w:rPr>
      </w:pPr>
      <w:r>
        <w:rPr>
          <w:rFonts w:ascii="Times New Roman" w:hAnsi="Times New Roman"/>
          <w:color w:val="000000"/>
          <w:sz w:val="20"/>
        </w:rPr>
        <w:t xml:space="preserve">Amendments to IAS 16 - </w:t>
      </w:r>
      <w:r>
        <w:rPr>
          <w:rFonts w:ascii="Times New Roman" w:hAnsi="Times New Roman"/>
          <w:i/>
          <w:color w:val="000000"/>
          <w:sz w:val="20"/>
        </w:rPr>
        <w:t>Property, Plant and Equipment: Proceeds before Intended Use</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sz w:val="20"/>
        </w:rPr>
      </w:pPr>
      <w:r>
        <w:rPr>
          <w:rFonts w:ascii="Times New Roman" w:hAnsi="Times New Roman"/>
          <w:color w:val="000000"/>
          <w:sz w:val="20"/>
        </w:rPr>
        <w:t xml:space="preserve">Amendments to IAS 21 - </w:t>
      </w:r>
      <w:r>
        <w:rPr>
          <w:rFonts w:ascii="Times New Roman" w:hAnsi="Times New Roman"/>
          <w:i/>
          <w:color w:val="000000"/>
          <w:sz w:val="20"/>
        </w:rPr>
        <w:t>The Effect of Changes in Foreign Exchange Rates</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color w:val="000000"/>
          <w:sz w:val="20"/>
        </w:rPr>
        <w:t>I</w:t>
      </w:r>
      <w:r>
        <w:rPr>
          <w:rFonts w:ascii="Times New Roman" w:hAnsi="Times New Roman"/>
          <w:i/>
          <w:color w:val="000000"/>
          <w:sz w:val="20"/>
        </w:rPr>
        <w:t>FRIC Agenda Decision – Guarantees Issued on Obligations of Other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of the Company anticipate that the application of the other new and amendments to IFRSs will have no material impact on the Group’s financial performance and positions and/or the disclosures to the Group’s consolidated financial statements in the foreseeable future.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application of the amendments has not had a significant impact on the Group’s other financial liabilities recognized in the consolidated financial statements.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New accounting standards, interpretations and amendments issued but not yet effective: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New and amended standards and interpretations issued but not yet effective as of the date of issuance of the Group’s consolidated financial statements are as follows: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sz w:val="20"/>
        </w:rPr>
      </w:pPr>
      <w:r>
        <w:rPr>
          <w:rFonts w:ascii="Times New Roman" w:hAnsi="Times New Roman"/>
          <w:color w:val="000000"/>
          <w:sz w:val="20"/>
        </w:rPr>
        <w:t xml:space="preserve">IFRS 18 - </w:t>
      </w:r>
      <w:r>
        <w:rPr>
          <w:rFonts w:ascii="Times New Roman" w:hAnsi="Times New Roman"/>
          <w:i/>
          <w:color w:val="000000"/>
          <w:sz w:val="20"/>
        </w:rPr>
        <w:t>Presentation and Disclosure in Financial Statements</w:t>
      </w:r>
      <w:r>
        <w:rPr>
          <w:rFonts w:ascii="Times New Roman" w:hAnsi="Times New Roman"/>
          <w:color w:val="000000"/>
          <w:sz w:val="20"/>
        </w:rPr>
        <w:t>. This standard introduces new requirements for the presentation and disclosure of income and expenses in the statement of profit or loss, including the introduction of new defined subtotals such as Operating Profit and enhanced disaggregation requirements. The standard also includes additional guidance on aggregation principles and requires disclosures about management-defined performance measures (MPMs) used in public communications outside the financial statements. It is effective for annual periods beginning on or after January 1, 2027, with retrospective application in accordance with IAS 8, subject to specific transitional reliefs.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sz w:val="20"/>
        </w:rPr>
      </w:pPr>
      <w:r>
        <w:rPr>
          <w:rFonts w:ascii="Times New Roman" w:hAnsi="Times New Roman"/>
          <w:color w:val="000000"/>
          <w:sz w:val="20"/>
        </w:rPr>
        <w:t xml:space="preserve">IFRS 19 - </w:t>
      </w:r>
      <w:r>
        <w:rPr>
          <w:rFonts w:ascii="Times New Roman" w:hAnsi="Times New Roman"/>
          <w:i/>
          <w:color w:val="000000"/>
          <w:sz w:val="20"/>
        </w:rPr>
        <w:t>Subsidiaries without Public Accountability</w:t>
      </w:r>
      <w:r>
        <w:rPr>
          <w:rFonts w:ascii="Times New Roman" w:hAnsi="Times New Roman"/>
          <w:color w:val="000000"/>
          <w:sz w:val="20"/>
        </w:rPr>
        <w:t>. This optional standard that applies to entities without public accountability, but whose parents prepare consolidated financial statements under IFRS, aiming to reduce disclosure burdens for qualifying subsidiaries, allowing them to apply reduced disclosure requirements instead of full IFRS. The standard is effective for annual periods beginning on or after January 1, 2027.</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Amendments to IAS 21 - </w:t>
      </w:r>
      <w:r>
        <w:rPr>
          <w:rFonts w:ascii="Times New Roman" w:hAnsi="Times New Roman"/>
          <w:i/>
          <w:color w:val="000000"/>
          <w:sz w:val="20"/>
        </w:rPr>
        <w:t>Translation to a Hyperinflationary Presentation Currency</w:t>
      </w:r>
      <w:r>
        <w:rPr>
          <w:rFonts w:ascii="Times New Roman" w:hAnsi="Times New Roman"/>
          <w:color w:val="000000"/>
          <w:sz w:val="20"/>
        </w:rPr>
        <w:t>. The amendments are effective for reporting periods beginning on or after January 1, 2027.</w:t>
      </w:r>
    </w:p>
    <w:p>
      <w:pPr>
        <w:pStyle w:val="TextBody"/>
        <w:bidi w:val="0"/>
        <w:jc w:val="both"/>
        <w:rPr>
          <w:rFonts w:ascii="Times New Roman" w:hAnsi="Times New Roman"/>
          <w:color w:val="000000"/>
          <w:sz w:val="20"/>
        </w:rPr>
      </w:pPr>
      <w:r>
        <w:rPr>
          <w:rFonts w:ascii="Times New Roman" w:hAnsi="Times New Roman"/>
          <w:color w:val="000000"/>
          <w:sz w:val="20"/>
        </w:rPr>
        <w:t>The Group intends to adopt these new standards, amendments and interpretations, if applicable, when they become effective; and does not expect them to have a material impact on its financial statements.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MATERIAL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have been prepared in accordance with the following accounting policies set out below which conform with IFRSs issued by the IASB. For the purpose of preparation of the consolidated financial statements, information is considered material if such information is reasonably expected to influence decisions made by primary users.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have been prepared on the historical cost basis except for certain financial instruments that are measured at fair value at the end of each reporting period, as explained in the accounting policies set out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 cost is generally based on the fair value of the consideration given in exchange for goods and services.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the Group takes into account the characteristics of the asset or liability if market participants would take those characteristics into account when pricing the asset or liability at the measurement date. Fair value for measurement and/or disclosure purposes in the financial statements is determined on such a basis, except for share-based payment transactions that are within the scope of IFRS 2 </w:t>
      </w:r>
      <w:r>
        <w:rPr>
          <w:rFonts w:ascii="Times New Roman" w:hAnsi="Times New Roman"/>
          <w:i/>
          <w:color w:val="000000"/>
          <w:sz w:val="20"/>
        </w:rPr>
        <w:t>Share-based Payments</w:t>
      </w:r>
      <w:r>
        <w:rPr>
          <w:rFonts w:ascii="Times New Roman" w:hAnsi="Times New Roman"/>
          <w:color w:val="000000"/>
          <w:sz w:val="20"/>
        </w:rPr>
        <w:t xml:space="preserve">, leasing transactions that are within the scope of IFRS 16 </w:t>
      </w:r>
      <w:r>
        <w:rPr>
          <w:rFonts w:ascii="Times New Roman" w:hAnsi="Times New Roman"/>
          <w:i/>
          <w:color w:val="000000"/>
          <w:sz w:val="20"/>
        </w:rPr>
        <w:t>Leases</w:t>
      </w:r>
      <w:r>
        <w:rPr>
          <w:rFonts w:ascii="Times New Roman" w:hAnsi="Times New Roman"/>
          <w:color w:val="000000"/>
          <w:sz w:val="20"/>
        </w:rPr>
        <w:t xml:space="preserve">, and measurements that have some similarities to fair value but are not fair value, such as net realizable value in IAS 2 </w:t>
      </w:r>
      <w:r>
        <w:rPr>
          <w:rFonts w:ascii="Times New Roman" w:hAnsi="Times New Roman"/>
          <w:i/>
          <w:color w:val="000000"/>
          <w:sz w:val="20"/>
        </w:rPr>
        <w:t xml:space="preserve">Inventories </w:t>
      </w:r>
      <w:r>
        <w:rPr>
          <w:rFonts w:ascii="Times New Roman" w:hAnsi="Times New Roman"/>
          <w:color w:val="000000"/>
          <w:sz w:val="20"/>
        </w:rPr>
        <w:t xml:space="preserve">or value in use in IAS 36 </w:t>
      </w:r>
      <w:r>
        <w:rPr>
          <w:rFonts w:ascii="Times New Roman" w:hAnsi="Times New Roman"/>
          <w:i/>
          <w:color w:val="000000"/>
          <w:sz w:val="20"/>
        </w:rPr>
        <w:t>Impairment of Assets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financial instruments which are transacted at fair value and a valuation technique that unobservable inputs are to be used to measure fair value in subsequent periods, the valuation technique is calibrated so that at initial recognition the results of the valuation technique equals the transaction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for financial reporting purposes, fair value measurements are categorized into Level 1, 2 or 3 based on the degree to which the inputs to the fair value measurements are observable and the significance of the inputs to the fair value measurement in its entirety, which are described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inputs are quoted prices (unadjusted) in active markets for identical assets or liabilities that the entity can access at the measurement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are inputs, other than quoted prices included within Level 1, that are observable for the asset or liability, either directly or indirectly;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accounting policies are set out below.</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Basis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incorporate the financial statements of Apollomics and entities controlled by Apollomics and its subsidiaries. Control is achieved when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has power over the investee;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exposed, or has rights, to variable returns from its involvement with the investee;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has the ability to use its power to affect its returns.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reassesses whether or not it controls an investee if facts and circumstances indicate that there are changes to one or more of the three elements of control listed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Consolidation of a subsidiary begins when the Group obtains control over the subsidiary and ceases when the Group loses control of the subsidiary. Specifically, income and expenses of a subsidiary acquired or disposed of during the year are included in the consolidated statements of loss and other comprehensive loss from the date the Group gains control until the date when the Group ceases to control the subsidiary.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necessary, adjustments are made to the financial statements of subsidiaries to bring their accounting policies in line with the Group’s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intragroup assets, liabilities, equity, income, expenses and cash flows relating to transactions between members of the Group are eliminated in full on consolidation.</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Revenue from contracts with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may enter into collaboration and licensing arrangements for research and development, manufacturing, and commercialization activities with counterparties for the development and commercialization of its product candidates. These arrangements may contain multiple components, such as (i) licenses, and (ii) the manufacturing of certain materials. Payments pursuant to these arrangements may include non-refundable payments, payments upon the achievement of significant regulatory, development and commercial milestones, sales of product at certain agreed-upon amounts, and royalties on product sales.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determining the appropriate amount of revenue to be recognized as it fulfills its obligations under a collaboration or license agreement, the Group performs the following steps for agreements that are in scope of IFRS 15 </w:t>
      </w:r>
      <w:r>
        <w:rPr>
          <w:rFonts w:ascii="Times New Roman" w:hAnsi="Times New Roman"/>
          <w:i/>
          <w:color w:val="000000"/>
          <w:sz w:val="20"/>
        </w:rPr>
        <w:t>Revenue from contracts with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customers</w:t>
      </w:r>
      <w:r>
        <w:rPr>
          <w:rFonts w:ascii="Times New Roman" w:hAnsi="Times New Roman"/>
          <w:color w:val="000000"/>
          <w:sz w:val="20"/>
        </w:rPr>
        <w:t xml:space="preserve"> (“IFRS 15”): (i) identification of the promised goods or services in the contract; (ii) determination of whether the promised goods or services are performance obligations, including whether they are capable of being distinct; (iii) measurement of the transaction price, including the constraint on variable consideration; (iv) allocation of the transaction price to the performance obligations; and (v) recognition of revenue as the Group satisfies each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must develop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such estimates as forecasted revenues and costs, development timelines, discount rates and probabilities of regulatory and commercial success. The Group also applies significant judgment when evaluating whether contractual obligations represent distinct performance obligations, allocating transaction price to performance obligations within a contract, determining when performance obligations have been met, and assessing the recognition and future reversal of variable consideration.</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Foreign currencies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preparing the financial statements of each individual group entity, transactions in currencies other than the functional currency of that entity (foreign currencies) are recognized at the rates of exchanges prevailing on the dates of the transactions. At the end of each reporting period, monetary items denominated in foreign currencies are retranslated at the rates prevailing at that date. Non-monetary items that are measured in terms of historical cost in a foreign currency are not retranslated.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differences arising on the settlement of monetary items, and on the retranslation of monetary items, are recognized in profit or loss in the period in which they arise.</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Government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grants are not recognized until there is reasonable assurance that the Group will comply with the conditions attaching to them and that the grants will be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grants related to income that are receivable as compensation for expenses or losses already incurred or for the purpose of giving immediate financial support to the Group with no future related costs are recognized in profit or loss in the period in which they become receivable. Such grants are presented under “other income”.</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Retirement benefits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to defined contribution retirement benefit plans, including the defined contribution plan in the US, state-managed retirement benefit schemes in the People’s Republic of China (the “PRC”) are recognized as an expense when employees have rendered service entitling them to the contributions.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Short-term employee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Short-term employee benefits are recognized at the undiscounted amount of the benefits expected to be paid as and when employees rendered the services. All short-term employee benefits are recognized as an expense unless another IFRS requires or permits the inclusion of the benefit in the cost of an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liability is recognized for benefits accruing to employees (such as wages, salaries and leave entitlement) after deducting any amount already paid.</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Share-based payments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Equity-settled share-based payment transactions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options and restricted shares granted to employees and others providing similar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Equity-settled share-based payments to employees and others providing similar services are measured at the fair value of the equity instruments at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equity-settled share-based payments determined at the grant date without taking into consideration all non-market vesting conditions is expensed on a straight-line basis over the vesting period, based on the Group’s estimate of equity instruments that will eventually vest, with a corresponding increase in equity (share-based payment reserve). At the end of each reporting period, the Group revises its estimate of the number of equity instruments expected to vest based on assessment of all relevant non-market vesting conditions. The impact of the revision of the original estimates, if any, is recognized in profit or loss such that the cumulative expense reflects the revised estimate, with a corresponding adjustment to the share-based payment reserve.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share options are exercised or the restricted shares are vested, the amount previously recognized in share-based payment reserve will be transferred to other reserve. When the share options are forfeited after the vesting date or are still not exercised at the expiry date, the amount previously recognized in share-based payment reserve will be transferred to accumulated losses.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Taxation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taxation represents the sum of the tax currently payable and deferred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currently payable is based on taxable profit for the year. Taxable profit differs from ‘loss before taxation’ because of income or expense that are taxable or deductible in other years and items that are never taxable or deductible. The Group’s liability for current tax is calculated using tax rates that have been enacted or substantively enacted by the end of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is recognized on temporary differences between the carrying amounts of assets and liabilities in the consolidated financial statements and the corresponding tax bases used in the computation of taxable profit. Deferred tax liabilities are generally recognized for all taxable temporary differences. Deferred tax assets are generally recognized for all deductible temporary differences to the extent that it is probable that taxable profits will be available against which those deductible temporary differences can be utilized. Such deferred tax assets and liabilities are not recognized if the temporary difference arises from the initial recognition of assets and liabilities in a transaction that affects neither the taxable profit nor the accounting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liabilities are recognized for taxable temporary differences associated with investments in subsidiaries, except where the Group is able to control the reversal of the temporary difference and it is probable that the temporary difference will not reverse in the foreseeable future. Deferred tax assets arising from deductible temporary differences associated with such investments are only recognized to the extent that it is probable that there will be sufficient taxable profits against which to utilize the benefits of the temporary differences and they are expected to reverse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 of deferred tax assets is reviewed at the end of each reporting period and reduced to the extent that it is no longer probable that sufficient taxable profits will be available to allow all or part of the asset to be recovered.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measured at the tax rates that are expected to apply in the period in which the liability is settled or the asset realized, based on tax rates (and tax laws) that have been enacted or substantively enacted by the end of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measurement of deferred tax liabilities and assets reflects the tax consequences that would follow from the manner in which the Group expects, at the end of each reporting period, to recover or settle the carrying amount of its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purposes of measuring deferred tax for leasing transactions in which the Group recognizes the right-of-use assets and the related lease liabilities, the Group first determines whether the tax deductions are attributable to the right-of-use assets or the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leasing transactions in which the tax deductions are attributable to the lease liabilities, the Group applies IAS 12 requirements to the leasing transaction as a whole. Temporary differences relating to right-of-use assets and lease liabilities are assessed on a net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Excess of depreciation on right-of-use assets over the lease payments for the principal portion of lease liabilities resulting in net deductible temporary differences.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offset when there is a legally enforceable right to set off current tax assets against current tax liabilities and when they relate to income taxes levied to the same taxable entity by the same taxation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and deferred tax are recognized in profit or loss.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Plant and equipment are stated at cost less subsequent accumulated depreciation and subsequent accumulated impairment losses,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is recognized so as to write off the cost of assets less their residual values over their estimated useful lives, using the straight-line method. The estimated useful lives, residual values and depreciation method are reviewed at the end of each reporting period, with the effect of any changes in estimate accounted for on a prospective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item of plant and equipment is derecognized upon disposal or when no future economic benefits are expected to arise from the continued use of the asset. Any gain or loss arising on the disposal or retirement of an item of plant and equipment is determined as the difference between the sales proceeds and the carrying amount of the asset and is recognized in profit or loss.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Definition of a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contract is, or contains, a lease if the contract conveys the right to control the use of an identified asset for a period of time in exchange for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assesses whether a contract is or contains a lease based on the definition under IFRS 16 at inception, modification date or acquisition date, as appropriate. Such contract will not be reassessed unless the terms and conditions of the contract are subsequently changed.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Group as a lessee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Allocation of consideration to components of a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contract that contains a lease component and one or more additional lease or non-lease components, the Group allocates the consideration in the contract to each lease component on the basis of the relative stand-alone price of the lease component and the aggregate stand-alone price of the non-lease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applies practical expedient not to separate non-lease components from lease component, and instead account for the lease component and any associated non-lease components as a single lease component.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Short-term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applies the short-term lease recognition exemption to leases of plant and equipment and laboratory premise, that have a lease term of 12 months or less from the commencement date and do not contain a purchase option. Lease payments on short-term leases is recognized as expense on a straight-line basis over the lease term.</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Right-of-use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short-term leases, 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right-of-use assets includes the amount of the initial measurement of the lease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Right-of-use assets in which the Group is reasonably certain to obtain ownership of the underlying leased assets at the end of the lease term is depreciated from commencement date to the end of the useful life. Otherwise, right-of-use assets are depreciated on a straight-line basis over the shorter of its estimated useful life and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presents right-of-use assets as a separate line item on the consolidated statements of financial position.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Refundable rental deposits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Refundable rental deposits paid are accounted for under IFRS 9 </w:t>
      </w:r>
      <w:r>
        <w:rPr>
          <w:rFonts w:ascii="Times New Roman" w:hAnsi="Times New Roman"/>
          <w:i/>
          <w:color w:val="000000"/>
          <w:sz w:val="20"/>
        </w:rPr>
        <w:t xml:space="preserve">Financial Instruments </w:t>
      </w:r>
      <w:r>
        <w:rPr>
          <w:rFonts w:ascii="Times New Roman" w:hAnsi="Times New Roman"/>
          <w:color w:val="000000"/>
          <w:sz w:val="20"/>
        </w:rPr>
        <w:t>and initially measured at fair value. Adjustments to fair value at initial recognition are considered as additional lease payments and included in the cost of right-of-use assets.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commencement date of a lease, the Group recognizes and measures the lease liability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payments include fixed payments (including in-substance fixed payments) less any lease incentives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liability is subsequently measured by increasing the carrying amount to reflect interest on the lease liability (using the effective interest method) and by reducing the carrying amount to reflect the lease payments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presents lease liabilities as a separate line item on the consolidated statements of financial position.</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Intangible assets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Intangible assets acquired separately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with finite useful lives that are acquired separately are carried at cost less accumulated amortization and any accumulated impairment losses if any. Amortization for intangible assets with finite useful lives is recognized on a straight-line basis over their estimated useful lives. The estimated useful life and amortization method are reviewed at the end of each reporting period, with the effect of any changes in estimate being accounted for on a prospective basis. Intangible assets not yet available for use that are acquired separately are carried at cost less any subsequent accumulated impairment losses.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Internally-generated intangible assets - research and development expenditure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 on research activities is recognized as an expense in the period in which it is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internally generated intangible asset arising from development activities (or from the development phase of an internal project) is recognized if, and only if, all of the following have been demonstrated: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technical feasibility of completing the intangible asset so that it will be available for use or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intention to complete the intangible asset and use or sell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use or sell the intangible asset;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 the intangible asset will generate probable future economic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technical, financial and other resources to complete the development and to use or sell the intangible asset;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measure reliably the expenditure attributable to the intangible asset during its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initially recognized for internally-generated intangible asset is the sum of the expenditure incurred from the date when the intangible asset first meets the recognition criteria listed above. Where no internally generated intangible asset can be recognized, development expenditure is recognized in profit or loss in the period in which it is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initial recognition, internally-generated intangible assets are reported at cost less accumulated amortization and accumulated impairment losses (if any), on the same basis as intangible assets that are acquired separately.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intangible asset is derecognized on disposal, or when no future economic benefits are expected from use or disposal. Gains and losses arising from derecognition of an intangible asset, measured as the difference between the net disposal proceeds and the carrying amount of the asset, are recognized in profit or loss when the asset is derecognized.</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Impairment on plant and equipment, right-of-use assets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end of each reporting period, the management of the Company reviews the carrying amounts of plant and equipment, right-of-use assets and intangible assets with finite useful lives to determine whether there is any indication that those assets have suffered an impairment loss. If any such indication exists, the recoverable amount of the relevant asset is estimated in order to determine the extent of the impairment loss, if any. Intangible assets not yet available for use are tested for impairment at least annually, and whenever there is an indication that they may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recoverable amount of plant and equipment, right-of-use assets and intangible assets is estimated individually. When it is not possible to estimate the recoverable amount of an asset individually, the Group estimates the recoverable amount of the cash-generating unit to which the asset belongs.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Recoverable amount is the higher of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(or cash-generating unit) for which the estimates of future cash flows have not been adjusted.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recoverable amount of an asset (or a cash-generating unit) is estimated to be less than its carrying amount, the carrying amount of the asset (or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assets on a pro-rata basis based on the carrying amount of each asset in the unit.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a group of cash-generating units. An impairment loss is recognized immediately in profit or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cash-generating unit or a group of cash-generating units) in prior years. A reversal of an impairment loss is recognized immediately in profit or loss.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presented on the consolidated statements of financial position include: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cash, which comprises of cash on hand and demand deposits;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cash equivalents, which comprises of short-term (generally with original maturity of three months or less), highly liquid investments that are readily convertible to a known amount of cash and which are subject to an insignificant risk of changes in value. Cash equivalents are held for the purpose of meeting short-term cash commitments rather than for investment or other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purposes of the consolidated statements of cash flows, cash and cash equivalents consist of cash and cash equivalents as defined above.</w:t>
      </w:r>
    </w:p>
    <w:p>
      <w:pPr>
        <w:pStyle w:val="TextBody"/>
        <w:bidi w:val="0"/>
        <w:spacing w:before="120" w:after="283"/>
        <w:jc w:val="left"/>
        <w:rPr/>
      </w:pPr>
      <w:r>
        <w:rPr/>
        <w: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and financial liabilities are recognized when a group entity becomes a party to the contractual provisions of the instrument. All regular way purchases or sales of financial assets are recognized and derecognized on a trade date basis. Regular way purchases or sales are purchases or sales of financial assets that require delivery of assets within the time frame established by regulation or convention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and financial liabilities are initially measured at fair value. Transaction costs that are directly attributable to the acquisition or issue of financial assets and financial liabilities (other than financial assets or liabilities at FVTPL) are added to or deducted from the fair value of the financial assets or financial liabilities, as appropriate, on initial recognition. Transaction costs directly attributable to the acquisition of financial assets or financial liabilities at FVTPL are recognized immediately in profit or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net carrying amount on initial recognition.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Classification and subsequent measurement of financial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that meet the following conditions are subsequently measured at amortized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asset is held within a business model whose objective is to collect contractual cash flows;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contractual terms give rise on specified dates to cash flows that are solely payments of principal and interest on the principal amount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financial assets are subsequently measured at FVTPL.</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Amortized cost and 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recognized using the effective interest method for financial assets measured subsequently at amortized cost. Interest income is calculated by applying the effective interest rate to the gross carrying amount of a financial asset, except for financial assets that have subsequently become credit-impaired (see below). For financial assets that have subsequently become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credit-impaired, interest income is recognized by applying the effective interest rate to the amortized cost of the financial asset from the next reporting period. If the credit risk on the credit-impaired financial instrument improves so that the financial asset is no longer credit-impaired, interest income is recognized by applying the effective interest rate to the gross carrying amount of the financial asset from the beginning of the reporting period following the determination that the asset is no longer credit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recognized in profit or loss and is included in the “other income” line item.</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Financial assets at FVTPL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of the Group that do not meet the criteria for being measured at amortized cost are measured at FVTPL.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assets at FVTPL are measured at fair value at the end of each reporting period, with any fair value gains or losses recognized in profit or loss. The net gain or loss recognized in profit or loss includes any interest earned on the financial asset and is presented as “fair value change of financial assets at FVTPL” line item.</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of financial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performs impairment assessment under expected credit loss (“ECL”) model on financial assets (including deposits, time deposits with original maturity over three months and cash and cash equivalents) which are subject to impairment under IFRS 9. The amount of ECL is updated at each reporting date to reflect changes in credit risk since initial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Lifetime ECL represents the ECL that will result from all possible default events over the expected life of the relevant instrument. In contrast,12-month ECL represents the portion of lifetime ECL that is expected to result from default events that are possible within 12 months after the reporting date. Assessments are done based on the Group’s historical credit loss experience, adjusted for factors that are specific to the debtors, general economic conditions and an assessment of both the current conditions at the reporting date as well as the forecast of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financial instruments, the Group measures the loss allowance equal to 12-month ECL, unless when there has been a significant increase in credit risk since initial recognition, the Group recognizes lifetime ECL. The assessment of whether lifetime ECL should be recognized is based on significant increases in the likelihood or risk of a default occurring since initial recognition.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Significant increase in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whether the credit risk on a financial instrument has increased significantly since initial recognition, the Group compares the risk of a default occurring on the financial instrument as at the reporting date with the risk of a default occurring on the financial instrument as at the date of initial recognition. In making this assessment, the Group considers both quantitative and qualitative information that is reasonable and supportable, including historical experience and forward-looking information that is available without undue cost or effort.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information considered includes the future prospects of the industries in which the Group’s debtors operate, obtained from economic expert reports, financial analysts, governmental bodies, relevant think-tanks and other similar organizations, as well as consideration of various external sources of actual and forecast economic information that relate to the Group’s core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 following information is taken into account when assessing whether credit risk has increased significantly: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actual or expected significant deterioration in the financial instrument’s external (if available) or internal credit rating;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deterioration in external market indicators of credit risk for a particular financial instrument, e.g. a significant increase in the credit spread, the credit default swap prices for the debtor;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or forecast adverse changes in business, financial or economic conditions that are expected to cause a significant decrease in the debtor’s ability to meet its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actual or expected significant deterioration in the operating results of the debtor;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actual or expected significant adverse change in the regulatory, economic, or technological environment of the debtor that results in a significant decrease in the debtor’s ability to meet its 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Irrespective of the outcome of the above assessment, the Group presumes that the credit risk on a financial asset has increased significantly since initial recognition when contractual payments are more than 30 days past due, unless the Group has reasonable and supportable information that demonstrates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Notwithstanding the foregoing, the Group assumes that the credit risk on a debt instrument has not increased significantly since initial recognition if the financial instrument is determined to have low credit risk at the reporting date. A financial instrument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determined to have low credit risk if i) the financial instrument has a low risk of default, ii) the borrower has a strong capacity to meet its contractual cash flow obligations in the near term and iii) adverse changes in economic and business conditions in the longer term may, but will not necessarily, reduce the ability of the borrower to fulfill its contractual cash flow obligations. The Group considers a debt instrument have low credit risk when it has an internal or external credit rating of “investment grade” as per globally understood definition.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past due.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Definition of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considers the following as constituting an event of default for internal credit risk management purposes as historical experience indicates that receivables that meet either of the following criteria are generally not recoverable.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there is a breach of financial covenants by the counterparty;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developed internally or obtained from external sources indicates that the debtor is unlikely to pay its creditors, including the Group, in full (without taking into account any collaterals held by the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Irrespective of the above analysis, the Group considers that default has occurred when a financial asset is more than 90 days past due unless the Group has reasonable and supportable information to demonstrate that a more lagging default criterion is more appropriate.</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Credit-impaired financial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financial asset is credit-impaired when one or more events that have a detrimental impact on the estimated future cash flows of that financial asset have occurred. Evidence that a financial asset is credit-impaired includes observable data about the following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financial difficulty of the issuer or the borrower;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breach of contract, such as a default or past due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lender(s) of the borrower, for economic or contractual reasons relating to the borrower’s financial difficulty, having granted to the borrower a concession(s) that the lender(s) would not otherwise consider;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becoming probable that the borrower will enter bankruptcy or other financial reorganization.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Write-off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writes off a financial asset when there is information indicating that the counterparty is in severe financial difficulty and there is no realistic prospect of recovery, e.g. when the counterparty has been placed under liquidation or has entered into bankruptcy proceedings, whichever occurs sooner. Financial assets written off may still be subject to enforcement activities under the Group’s recovery procedures, taking into account legal advice where appropriate. A write-off constitutes a derecognition event. Any subsequent recoveries are recognized in profit or loss.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Measurement and recognition of ECL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measurement of ECL is a function of the probability of default, loss given default (i.e. the magnitude of the loss if there is a default) and the exposure at default. The assessment of the probability of default and loss given default is based on historical data and forward-looking information as described above. Estimation of ECL reflects an unbiased and probability-weighted amount that is determined with the respective risk of default occurring as the weights.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the ECL is the difference between all contractual cash flows that are due to the Group in accordance with the contract and the cash flows that the Group expects to receive, discounted at the effective interest rate determined at initial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calculated based on the gross carrying amount of the financial asset unless the financial asset is credit-impaired, in which case interest income is calculated based on amortized cost of the financial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recognizes an impairment gain or loss in profit or loss for all financial instruments by adjusting their carrying amount.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Derecognition of financial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derecognizes a financial asset only when the contractual rights to the cash flows from the asset expire, or when it transfers the financial asset and substantially all the risks and rewards of ownership of the asset to another entity. If the Group neither transfers nor retains substantially all the risks and rewards of ownership and continues to control the transferred asset, the Group recognizes its retained interest in the asset and an associated liability for amounts it may have to pay. If the Group retains substantially all the risks and rewards of ownership of a transferred financial asset, the Group continues to recognize the financial asset and also recognizes a collateralized borrowing for the proceeds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derecognition of a financial asset measured at amortized cost, the difference between the asset’s carrying amount and the sum of the consideration received and receivable is recognized in profit or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liabilities and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Classification as debt or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and equity instruments are classified as either financial liabilities or as equity in accordance with the substance of the contractual arrangements and the definitions of a financial liability and an equity instrument.</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Equity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equity instrument is any contract that evidences a residual interest in the assets of an entity after deducting all of its liabilities. Equity instruments issued by the Company are recognized at the proceeds received, net of direct issue costs.</w:t>
      </w:r>
    </w:p>
    <w:p>
      <w:pPr>
        <w:pStyle w:val="TextBody"/>
        <w:bidi w:val="0"/>
        <w:spacing w:before="360" w:after="283"/>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Treasury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own equity instruments held by the Company or the Group (treasury shares) are recognized directly in equity at cost. No gain or loss is recognized in the profit or loss on the purchase, sale, issue or cancelation of the Company’s own equity instruments.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liabilities are subsequently measured at amortized cost using the effective interest method or at FVTPL.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liabilities at FVTPL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Financial liabilities are classified as at FVTPL when the financial liability is (i) contingent consideration of an acquirer in a business combination to which IFRS 3 </w:t>
      </w:r>
      <w:r>
        <w:rPr>
          <w:rFonts w:ascii="Times New Roman" w:hAnsi="Times New Roman"/>
          <w:i/>
          <w:color w:val="000000"/>
          <w:sz w:val="20"/>
        </w:rPr>
        <w:t xml:space="preserve">Business Combinations </w:t>
      </w:r>
      <w:r>
        <w:rPr>
          <w:rFonts w:ascii="Times New Roman" w:hAnsi="Times New Roman"/>
          <w:color w:val="000000"/>
          <w:sz w:val="20"/>
        </w:rPr>
        <w:t>applies, (ii) held for trading or (iii) it is designated as at FVTPL.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financial liability is held for trading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has been acquired principally for the purpose of repurchasing it in the near term;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initial recognition it is part of a portfolio of identified financial instruments that the Group manages together and has a recent actual pattern of short-term profit-taking;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 derivative, except for a derivative that is a financial guarantee contract or a designated and effective hedging instrument.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financial liability other than a financial liability held for trading or contingent consideration of an acquirer in a business combination may be designated as at FVTPL upon initial recognition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designation eliminates or significantly reduces a measurement or recognition inconsistency that would otherwise arise;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liability forms part of a group of financial assets or financial liabilities or both, which is managed and its performance is evaluated on a fair value basis, in accordance with the Group’s documented risk management or investment strategy, and information about the grouping is provided internally on that basis;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forms part of a contract containing one or more embedded derivatives, and IFRS 9 permits the entire combined contract to be designated as at FVTPL.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financial liabilities that are designated as at FVTPL, the amount of change in the fair value of the financial liability that is attributable to changes in the credit risk of that liability is recognized in other comprehensive income, unless the recognition of the effects of changes in the liability’s credit risk in other comprehensive income would create or enlarge an accounting mismatch in profit or loss. For financial liabilities that contain embedded derivatives, such as convertible preferred shares, the changes in fair value of the embedded derivatives are excluded in determining the amount to be presented in other comprehensive income. The remaining amount of change in the fair value of liability is recognized in profit or loss. Changes in fair value attributable to a financial liability’s credit risk that are recognized in other comprehensive income are not subsequently reclassified to profit or loss; instead, they are transferred to accumulated losses upon derecognition of the financial liability.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shares, which contain redemption features and other embedded derivatives, are designated as at financial liabilities at FVTPL.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liabilities at amortized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liabilities representing other payables and financial liabilities arising from unvested restricted shares are subsequently measured at amortized cost, using the effective interest method.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Derecognition of financial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derecognizes financial liabilities when, and only when, the Group’s obligations are discharged, canceled or have expired. The difference between the carrying amount of the financial liability derecognized and the consideration paid and payable is recognized in profit or loss.</w:t>
      </w:r>
    </w:p>
    <w:p>
      <w:pPr>
        <w:pStyle w:val="TextBody"/>
        <w:bidi w:val="0"/>
        <w:spacing w:before="12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Derivatives are initially recognized at fair value at the date when derivative contracts are entered into and are subsequently remeasured to their fair value at the end of each reporting period. The resulting gain or loss is recognized in profit or loss.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Embedded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Derivatives embedded in non-derivative host contracts that are not financial assets within the scope of IFRS 9 are treated as separate derivatives when they meet the definition of a derivative, their risks and characteristics are not closely related to those of the host contracts and the host contracts are not measured at FVTPL.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multiple embedded derivatives in a single instrument that are separated from the host contracts are treated as a single compound embedded derivative unless those derivatives relate to different risk exposures and are readily separable and independent of each other.</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CRITICAL ACCOUNTING JUDGMENT AND KEY SOURCES OF ESTIMATION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application of the Group’s accounting policies, which are described in Note 4, the management of the Company are required to make judgments, estimates and assumptions about the carrying amounts of assets and liabilities that are not readily apparent from other sources. The estimates and underlying assumptions are based on historical experience and other factors that are considered to be relevant. Actual results may differ from these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judgment in applying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the critical judgment, apart from those involving estimations (see below), that the Company have made in the process of applying the Group’s accounting policies and that have the most significant effect on the amounts recognized in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costs incurred on the Group’s research and development projects are capitalized and deferred only when the Group can demonstrate the technical feasibility of completing the intangible asset so that it will be available for use or sale, the Group’s intention to complete and the Group’s ability to use or sell the asset, how the asset will generate future economic benefits, the availability of resources to complete the pipeline and the ability to measure reliably the expenditure during the development. Development costs which do not meet these criteria are expensed when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assesses the progress of each of the research and development projects and determines whether the criteria are met for capitalization. During the years ended December 31, 2023, 2024 and 2025, all the related development costs are expensed when incurred.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Key sources of estimation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key assumptions concerning the future, and other key sources of estimation uncertainty at the end of each reporting period, that may have a significant risk of causing a material adjustment to the carrying amounts of assets and liabilities within the coming twelve months, are described below.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Estimated impairment of intangible assets not ready for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not ready for use are tested annually for impairment, or more frequently, if events or changes in circumstances indicate that they might be impaired. The Group obtained in-licenses through separate acquisition to continue research and development work and commercialize the products, which are classified as intangible assets not ready for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whether intangible assets not ready for use is impaired requires an estimation of recoverable amount of the cash-generating unit to which the intangible assets belong, which is the higher of the value in use or fair value less costs of disposal. The value in use calculation requires the Group to estimate the future cash flows expected to arising from the cash-generating unit and a suitable discount rate in order to calculate the present value. Where the actual future cash flows are less than expected, or change in facts and circumstances which results in downward revision of future cash flows or upward revision of discount rate, a material impairment loss or further loss may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 of intangible assets not ready for use as at December 31, 2024 and 2025, were $1.5 million and nil, respectively. The impairment loss recognized during the years ended December 31, 2023, 2024 and 2025 amounted to nil, $13.0 million, and $1.7 million,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Fair value of convertible 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convertible preferred shares of the Company are measured at fair value for financial reporting purpose. No quoted prices in an active market are available for these financial liabilities. These financial liabilities were valued by the management with reference to valuations carried out by an independent qualified professional valuer not connected with the Group, which has appropriate qualifications and experience in valuation of similar financial instruments. The fair value of these financial liabilities is established by using valuation techniques as disclosed in Note 28. Valuation techniques are certified by the valuer before being implemented for valuation and are calibrated to ensure that outputs reflect market conditions. Valuation models established by the valuer make the maximum use of market inputs and rely as little as possible on the Group’s specific data. However, it should be noted that some inputs, such as the underlying share value of the Company, possibilities under different scenarios such as initial public offerings (“IPO”) and time to liquidation require management estimates. The estimates and assumptions by the management of the Company are reviewed periodically and are adjusted if necessary. Should any of the estimates and assumptions change, it may lead to a change in the fair value of the financial liabilities at FVTPL. The fair values of the convertible preferred shares which are classified as financial liabilities at FVTPL as at December 31, 2024 and 2025 were nil and nil, respectively. Upon the IPO in 2023, all the pre-closing Apollomics convertible preferred shares converted into Post-Closing Apollomics Ordinary Shares. The fair value loss recognized in the profit or loss during the years ended December 31, 2023, 2024 and 2025 amounted to $76.4 million, nil, and nil, respectively.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REVENUE AND SEGMENT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Apollomics entered into an agreement for the development and commercialization in Asia (excluding mainland China, Hong Kong and Macau) of vebreltinib, Apollomics’ proprietary c-Met inhibitor, in combination with an EGFR inhibitor (“EGFRi”) for the treatment of non-small cell lung cancer (“NSCLC”) and other tumor types with LaunXP International Co., Ltd.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(“LaunXP”). Under the terms of the LaunXP agreement (“the Agreement”), Apollomics is to receive upfront payments totaling $10 million. Apollomics is also eligible for regulatory and other pre-commercial milestone payments of up to $50 million, and royalties on net product sales at a rate of 11%. Such royalties are payable on a Licensed Product-by-Licensed Product and Region-by-Region basis from first commercial sale and continue, in each case, until the latest of patent expiration, expiration of regulatory exclusivity, or fifteen years following first commercial sale in the applicable region. LaunXP will be primarily responsible for the development of vebreltinib in combination with an EGFRi in the LaunXP territory (all countries in Asia other than mainland China, Hong Kong and Macau) for the treatment of NSCLC.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determined that the Agreement and the supply activities and materials transfer fall within the scope of IFRS 15. In calculating the transaction price, it determined the following two performance obligations under the agreement: (i) provide exclusive license and (ii) provide initial drug supply.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allocated the transaction price to the performance obligations as of December 31, 2025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3"/>
        <w:gridCol w:w="146"/>
        <w:gridCol w:w="297"/>
        <w:gridCol w:w="955"/>
        <w:gridCol w:w="146"/>
        <w:gridCol w:w="146"/>
        <w:gridCol w:w="1011"/>
        <w:gridCol w:w="2740"/>
        <w:gridCol w:w="146"/>
        <w:gridCol w:w="146"/>
        <w:gridCol w:w="858"/>
        <w:gridCol w:w="2327"/>
        <w:gridCol w:w="194"/>
      </w:tblGrid>
      <w:tr>
        <w:trPr/>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recognized for the twelve months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revenue recognized as of 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each of the performance obligations described above, the Group has determined the following methods of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The Group recognizes revenue from the license at a point in time. Upon signing the LaunXP Agreement and transferring the license know-how, the Group no longer has any rights to the license in the LaunXP territory, and the Group does not have the obligation to improve, modify or update the license transferred. As such, there is no significant continued involvement in the license provided. LaunXP can begin to use and benefit from the license after the effective date of the Agreement and transfer of the license know-how as they are now the ‘owner’ of the underlying patents and know-how in the LaunXP territory. The transaction price allocated to the license performance obligation was determined using the residual approach, as the standalone selling price of the license is highly variable. In connection with the license performance obligation, the Group recognized revenue of $8.5 million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Initial clinical supply: The Group is responsible for providing LaunXP with the initial clinical trial drug supply. It is obligated to transfer this initial supply to LaunXP in accordance with the development plan. The Group has not transferred the initial supply of drug product to LaunXP as of December 31, 2025, and therefore has not triggered the recognition of revenue at the point in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Group had received $6.2 million of the upfront payment and had recorded $2.3 million in accounts receivable on the consolidated statements of financial position. The Group expects the remaining $2.3 million to be received within twelve months from December 31, 2025.</w:t>
        <w:b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made available and is regularly evaluated by the chief operating decision maker (“CODM”) in making decisions regarding resource allocation and assessing performance. The Company’s CODM is its Chief Executive Officer (“CEO”), and operations are managed as a single segment for the purposes of assessing performance and making operating decisions. The CODM reviews the consolidated results when making decisions about allocating resources and assessing performance of the Group as a whole and hence, the Group has only one operating and reportable segment and no further analysis of this single segment is presented.</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INCOME</w:t>
      </w:r>
    </w:p>
    <w:p>
      <w:pPr>
        <w:pStyle w:val="TextBody"/>
        <w:bidi w:val="0"/>
        <w:jc w:val="left"/>
        <w:rPr>
          <w:rFonts w:ascii="Times New Roman" w:hAnsi="Times New Roman"/>
          <w:color w:val="FFFFFF"/>
          <w:sz w:val="24"/>
        </w:rPr>
      </w:pPr>
      <w:r>
        <w:rPr>
          <w:rFonts w:ascii="Times New Roman" w:hAnsi="Times New Roman"/>
          <w:color w:val="FFFFFF"/>
          <w:sz w:val="24"/>
        </w:rPr>
        <w:t>------------------------------------------------------------------------------------------------------------------------------------------</w:t>
      </w:r>
    </w:p>
    <w:p>
      <w:pPr>
        <w:pStyle w:val="TextBody"/>
        <w:bidi w:val="0"/>
        <w:jc w:val="left"/>
        <w:rPr/>
      </w:pPr>
      <w:r>
        <w:rPr/>
        <w:t> </w:t>
      </w:r>
    </w:p>
    <w:tbl>
      <w:tblPr>
        <w:tblW w:w="5413" w:type="dxa"/>
        <w:jc w:val="left"/>
        <w:tblInd w:w="0" w:type="dxa"/>
        <w:tblLayout w:type="fixed"/>
        <w:tblCellMar>
          <w:top w:w="28" w:type="dxa"/>
          <w:left w:w="28" w:type="dxa"/>
          <w:bottom w:w="28" w:type="dxa"/>
          <w:right w:w="28" w:type="dxa"/>
        </w:tblCellMar>
      </w:tblPr>
      <w:tblGrid>
        <w:gridCol w:w="2296"/>
        <w:gridCol w:w="146"/>
        <w:gridCol w:w="211"/>
        <w:gridCol w:w="421"/>
        <w:gridCol w:w="146"/>
        <w:gridCol w:w="146"/>
        <w:gridCol w:w="211"/>
        <w:gridCol w:w="571"/>
        <w:gridCol w:w="146"/>
        <w:gridCol w:w="146"/>
        <w:gridCol w:w="211"/>
        <w:gridCol w:w="57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grants (note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 government grants are amounts of Australian Dollar (“AUD”) AUD 635 thousand (equivalent to approximately $408 thousand), AUD 460 thousand (equivalent to approximately $301 thousand), and AUD 423 thousand (equivalent to approximately $279 thousand), representing the unconditional subsidies from the Australian government specifically for supporting the research and development activities carried out in Australia for the years ended December 31, 2023, 2024, and 2025, respectively. The remaining amounts represent government subsidies in relation to the research and development activities in the US and the PRC. All the government grants provide immediate financial support with no future related expenses or other obligations.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FOREIGN EXCHANGE GAINS AND LOSSES</w:t>
      </w:r>
    </w:p>
    <w:p>
      <w:pPr>
        <w:pStyle w:val="TextBody"/>
        <w:bidi w:val="0"/>
        <w:jc w:val="left"/>
        <w:rPr/>
      </w:pPr>
      <w:r>
        <w:rPr/>
        <w:t> </w:t>
      </w:r>
    </w:p>
    <w:tbl>
      <w:tblPr>
        <w:tblW w:w="6093" w:type="dxa"/>
        <w:jc w:val="left"/>
        <w:tblInd w:w="0" w:type="dxa"/>
        <w:tblLayout w:type="fixed"/>
        <w:tblCellMar>
          <w:top w:w="28" w:type="dxa"/>
          <w:left w:w="28" w:type="dxa"/>
          <w:bottom w:w="28" w:type="dxa"/>
          <w:right w:w="28" w:type="dxa"/>
        </w:tblCellMar>
      </w:tblPr>
      <w:tblGrid>
        <w:gridCol w:w="3046"/>
        <w:gridCol w:w="146"/>
        <w:gridCol w:w="211"/>
        <w:gridCol w:w="481"/>
        <w:gridCol w:w="166"/>
        <w:gridCol w:w="146"/>
        <w:gridCol w:w="211"/>
        <w:gridCol w:w="421"/>
        <w:gridCol w:w="146"/>
        <w:gridCol w:w="146"/>
        <w:gridCol w:w="211"/>
        <w:gridCol w:w="57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gains (losses),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primarily operates in the United States, PRC, and Australia, with most of the transactions settled in the U.S. dollar. The Company’s presentation and functional currency is the U.S. dollar. Certain bank balances, deposits and other payables are denominated in Renminbi and Australian dollar, which exposes the Company to foreign currency risk. The Company incurs portions of its expenses in currencies other than the U.S. dollar, in particular, the Renminbi and Australian dollar. As a result, the Company is exposed to foreign currency exchange risk as its results of operations and cash flows are subject to fluctuations in foreign currency exchange rates. Realized and unrealized gains and losses are shown in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not entered into any derivative contracts to hedge against its exposure to currency risk during the three years ended December 31, 2023, 2024 or 2025. However, management monitors foreign exchange exposure and will consider hedging significant foreign currency exposure should the need arise.</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FINANCE COSTS</w:t>
      </w:r>
    </w:p>
    <w:p>
      <w:pPr>
        <w:pStyle w:val="TextBody"/>
        <w:bidi w:val="0"/>
        <w:jc w:val="left"/>
        <w:rPr/>
      </w:pPr>
      <w:r>
        <w:rPr/>
        <w:t> </w:t>
      </w:r>
    </w:p>
    <w:tbl>
      <w:tblPr>
        <w:tblW w:w="5743" w:type="dxa"/>
        <w:jc w:val="left"/>
        <w:tblInd w:w="0" w:type="dxa"/>
        <w:tblLayout w:type="fixed"/>
        <w:tblCellMar>
          <w:top w:w="28" w:type="dxa"/>
          <w:left w:w="28" w:type="dxa"/>
          <w:bottom w:w="28" w:type="dxa"/>
          <w:right w:w="28" w:type="dxa"/>
        </w:tblCellMar>
      </w:tblPr>
      <w:tblGrid>
        <w:gridCol w:w="3031"/>
        <w:gridCol w:w="146"/>
        <w:gridCol w:w="211"/>
        <w:gridCol w:w="316"/>
        <w:gridCol w:w="146"/>
        <w:gridCol w:w="146"/>
        <w:gridCol w:w="211"/>
        <w:gridCol w:w="421"/>
        <w:gridCol w:w="146"/>
        <w:gridCol w:w="146"/>
        <w:gridCol w:w="211"/>
        <w:gridCol w:w="421"/>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exempted from taxation under the laws of the Cayman Islands.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Corporate Income Tax (“CIT”) includes (a) federal income tax calculated at a flat rate of 21% on the US federal taxable income in accordance to the Tax Cuts and Jobs Act of 2017; (b) state income tax is calculated based on the federal taxable income with state tax adjustments, which is then allocated or apportioned to the respective state (i.e. percentage of taxable income that should be apportioned or specially allocated to the respective states in which the Group operates) based on the apportionment factors provided from the state tax returns in previous year, and (c) state minimum tax if there is no assessable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PRC enterprises income tax (“EIT”) is calculated at the prevailing tax rate on the taxable income of the subsidiaries operating in the PRC. Under the Law of the PRC on EIT (the “EIT Law”) and Implementation Regulation of the EIT Law, the applicable tax rate of the PRC subsidiaries is at 25% during the years ended December 31, 2023, 2024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Treasury Law Amendment (Enterprise Tax Plan Base Rate Entities) Bill 2018 of Australia, qualifying base rate entities that meet aggregate turnover threshold can be eligible for a lower corporate tax rate. Upon assessment on the base rate entity qualification on an ongoing basis, Apollomics (Australia) Pty. Ltd., a wholly-owned subsidiary of the Company, applies a corporate tax rate of 25%, 25% and 25% for the years ended December 31, 2023, 2024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Hong Kong Profits Tax is calculated at 16.5% of the estimated assessable profit for a Hong Kong incorporated subsidiary.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tbl>
      <w:tblPr>
        <w:tblW w:w="6223" w:type="dxa"/>
        <w:jc w:val="left"/>
        <w:tblInd w:w="0" w:type="dxa"/>
        <w:tblLayout w:type="fixed"/>
        <w:tblCellMar>
          <w:top w:w="28" w:type="dxa"/>
          <w:left w:w="28" w:type="dxa"/>
          <w:bottom w:w="28" w:type="dxa"/>
          <w:right w:w="28" w:type="dxa"/>
        </w:tblCellMar>
      </w:tblPr>
      <w:tblGrid>
        <w:gridCol w:w="3556"/>
        <w:gridCol w:w="146"/>
        <w:gridCol w:w="211"/>
        <w:gridCol w:w="346"/>
        <w:gridCol w:w="146"/>
        <w:gridCol w:w="146"/>
        <w:gridCol w:w="211"/>
        <w:gridCol w:w="421"/>
        <w:gridCol w:w="146"/>
        <w:gridCol w:w="146"/>
        <w:gridCol w:w="211"/>
        <w:gridCol w:w="346"/>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over-provision in respect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than the subsidiary operating in the US, no provision for income taxation has been made as the Company and the other subsidiaries either had no assessable profit or incurred tax losses in the PRC, Australia and Hong Kong for the years ended December 31, 2023, 2024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(credit) expense for the years ended December 31, 2023, 2024 and 2025 can be reconciled to the loss before taxation per the consolidated statements of loss and other comprehensive loss as follows:</w:t>
      </w:r>
    </w:p>
    <w:p>
      <w:pPr>
        <w:pStyle w:val="TextBody"/>
        <w:bidi w:val="0"/>
        <w:jc w:val="left"/>
        <w:rPr/>
      </w:pPr>
      <w:r>
        <w:rPr/>
        <w:t> </w:t>
      </w:r>
    </w:p>
    <w:tbl>
      <w:tblPr>
        <w:tblW w:w="8698" w:type="dxa"/>
        <w:jc w:val="left"/>
        <w:tblInd w:w="0" w:type="dxa"/>
        <w:tblLayout w:type="fixed"/>
        <w:tblCellMar>
          <w:top w:w="28" w:type="dxa"/>
          <w:left w:w="28" w:type="dxa"/>
          <w:bottom w:w="28" w:type="dxa"/>
          <w:right w:w="28" w:type="dxa"/>
        </w:tblCellMar>
      </w:tblPr>
      <w:tblGrid>
        <w:gridCol w:w="4771"/>
        <w:gridCol w:w="146"/>
        <w:gridCol w:w="211"/>
        <w:gridCol w:w="736"/>
        <w:gridCol w:w="166"/>
        <w:gridCol w:w="146"/>
        <w:gridCol w:w="211"/>
        <w:gridCol w:w="736"/>
        <w:gridCol w:w="166"/>
        <w:gridCol w:w="146"/>
        <w:gridCol w:w="211"/>
        <w:gridCol w:w="841"/>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the US federal tax rate of 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expenses not deductible for tax purpose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income not taxable for tax purpose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additional qualified expenses deductible for</w:t>
              <w:br/>
              <w:t>   tax purpose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R&amp;D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tax losses not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foreign tax differential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 intangible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The amount represents additional 100% income tax deduction in respect of qualifying research and development expenditures incurred for the year.</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LOSS FOR THE YEAR</w:t>
      </w:r>
    </w:p>
    <w:p>
      <w:pPr>
        <w:pStyle w:val="TextBody"/>
        <w:bidi w:val="0"/>
        <w:jc w:val="left"/>
        <w:rPr>
          <w:rFonts w:ascii="Times New Roman" w:hAnsi="Times New Roman"/>
          <w:color w:val="FFFFFF"/>
          <w:sz w:val="24"/>
        </w:rPr>
      </w:pPr>
      <w:r>
        <w:rPr>
          <w:rFonts w:ascii="Times New Roman" w:hAnsi="Times New Roman"/>
          <w:color w:val="FFFFFF"/>
          <w:sz w:val="24"/>
        </w:rPr>
        <w:t>---------------------------------------------------------------------------------------------------------------------------------------</w:t>
      </w:r>
    </w:p>
    <w:p>
      <w:pPr>
        <w:pStyle w:val="TextBody"/>
        <w:bidi w:val="0"/>
        <w:jc w:val="left"/>
        <w:rPr/>
      </w:pPr>
      <w:r>
        <w:rPr/>
        <w:t> </w:t>
      </w:r>
    </w:p>
    <w:tbl>
      <w:tblPr>
        <w:tblW w:w="7743" w:type="dxa"/>
        <w:jc w:val="left"/>
        <w:tblInd w:w="0" w:type="dxa"/>
        <w:tblLayout w:type="fixed"/>
        <w:tblCellMar>
          <w:top w:w="28" w:type="dxa"/>
          <w:left w:w="28" w:type="dxa"/>
          <w:bottom w:w="28" w:type="dxa"/>
          <w:right w:w="28" w:type="dxa"/>
        </w:tblCellMar>
      </w:tblPr>
      <w:tblGrid>
        <w:gridCol w:w="4246"/>
        <w:gridCol w:w="146"/>
        <w:gridCol w:w="211"/>
        <w:gridCol w:w="571"/>
        <w:gridCol w:w="166"/>
        <w:gridCol w:w="146"/>
        <w:gridCol w:w="211"/>
        <w:gridCol w:w="676"/>
        <w:gridCol w:w="146"/>
        <w:gridCol w:w="146"/>
        <w:gridCol w:w="211"/>
        <w:gridCol w:w="67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 has been arrived at after charging: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other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benefits scheme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staff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of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of an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Note: </w:t>
      </w:r>
      <w:r>
        <w:rPr>
          <w:rFonts w:ascii="Times New Roman" w:hAnsi="Times New Roman"/>
          <w:color w:val="000000"/>
          <w:sz w:val="20"/>
        </w:rPr>
        <w:t>For the year ended December 31, 2023, the other expense also includes expenses incurred in connection with 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dividend was declared or paid by the Company during the years ended December 31, 2023, 2024 and 2025, nor has any dividend been proposed since the end of the year ended December 31, 2025.</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LOSS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calculations of the basic and diluted loss per share are based on the following data:</w:t>
      </w:r>
    </w:p>
    <w:p>
      <w:pPr>
        <w:pStyle w:val="TextBody"/>
        <w:bidi w:val="0"/>
        <w:jc w:val="left"/>
        <w:rPr/>
      </w:pPr>
      <w:r>
        <w:rPr/>
        <w:t> </w:t>
      </w:r>
    </w:p>
    <w:tbl>
      <w:tblPr>
        <w:tblW w:w="9133" w:type="dxa"/>
        <w:jc w:val="left"/>
        <w:tblInd w:w="0" w:type="dxa"/>
        <w:tblLayout w:type="fixed"/>
        <w:tblCellMar>
          <w:top w:w="28" w:type="dxa"/>
          <w:left w:w="28" w:type="dxa"/>
          <w:bottom w:w="28" w:type="dxa"/>
          <w:right w:w="28" w:type="dxa"/>
        </w:tblCellMar>
      </w:tblPr>
      <w:tblGrid>
        <w:gridCol w:w="5206"/>
        <w:gridCol w:w="146"/>
        <w:gridCol w:w="211"/>
        <w:gridCol w:w="736"/>
        <w:gridCol w:w="166"/>
        <w:gridCol w:w="146"/>
        <w:gridCol w:w="211"/>
        <w:gridCol w:w="736"/>
        <w:gridCol w:w="166"/>
        <w:gridCol w:w="146"/>
        <w:gridCol w:w="211"/>
        <w:gridCol w:w="841"/>
        <w:gridCol w:w="2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 attributable to owners of the Company for the</w:t>
              <w:br/>
              <w:t>   purpose of calculating basic and 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for the purpose of</w:t>
              <w:br/>
              <w:t>   calculating basic and 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Basic and diluted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2024 and 2025, share options outstanding and the private and public warrants were excluded from the calculation of diluted loss per share as their inclusion would have been anti-dilutive.</w:t>
      </w:r>
    </w:p>
    <w:p>
      <w:pPr>
        <w:pStyle w:val="TextBody"/>
        <w:bidi w:val="0"/>
        <w:jc w:val="left"/>
        <w:rPr/>
      </w:pPr>
      <w:r>
        <w:rPr/>
        <w:t> </w:t>
      </w:r>
    </w:p>
    <w:tbl>
      <w:tblPr>
        <w:tblW w:w="6868" w:type="dxa"/>
        <w:jc w:val="left"/>
        <w:tblInd w:w="0" w:type="dxa"/>
        <w:tblLayout w:type="fixed"/>
        <w:tblCellMar>
          <w:top w:w="28" w:type="dxa"/>
          <w:left w:w="28" w:type="dxa"/>
          <w:bottom w:w="28" w:type="dxa"/>
          <w:right w:w="28" w:type="dxa"/>
        </w:tblCellMar>
      </w:tblPr>
      <w:tblGrid>
        <w:gridCol w:w="2401"/>
        <w:gridCol w:w="146"/>
        <w:gridCol w:w="146"/>
        <w:gridCol w:w="1036"/>
        <w:gridCol w:w="146"/>
        <w:gridCol w:w="146"/>
        <w:gridCol w:w="146"/>
        <w:gridCol w:w="1036"/>
        <w:gridCol w:w="146"/>
        <w:gridCol w:w="146"/>
        <w:gridCol w:w="146"/>
        <w:gridCol w:w="1036"/>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Apollomics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Apollomics 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PLANT AND EQUIPMENT</w:t>
      </w:r>
    </w:p>
    <w:p>
      <w:pPr>
        <w:pStyle w:val="TextBody"/>
        <w:bidi w:val="0"/>
        <w:jc w:val="left"/>
        <w:rPr/>
      </w:pPr>
      <w:r>
        <w:rPr/>
        <w:t> </w:t>
      </w:r>
    </w:p>
    <w:tbl>
      <w:tblPr>
        <w:tblW w:w="7691" w:type="dxa"/>
        <w:jc w:val="left"/>
        <w:tblInd w:w="0" w:type="dxa"/>
        <w:tblLayout w:type="fixed"/>
        <w:tblCellMar>
          <w:top w:w="28" w:type="dxa"/>
          <w:left w:w="28" w:type="dxa"/>
          <w:bottom w:w="28" w:type="dxa"/>
          <w:right w:w="28" w:type="dxa"/>
        </w:tblCellMar>
      </w:tblPr>
      <w:tblGrid>
        <w:gridCol w:w="4036"/>
        <w:gridCol w:w="146"/>
        <w:gridCol w:w="343"/>
        <w:gridCol w:w="783"/>
        <w:gridCol w:w="166"/>
        <w:gridCol w:w="146"/>
        <w:gridCol w:w="261"/>
        <w:gridCol w:w="595"/>
        <w:gridCol w:w="166"/>
        <w:gridCol w:w="146"/>
        <w:gridCol w:w="211"/>
        <w:gridCol w:w="481"/>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Leasehold</w:t>
              <w:br/>
              <w:t>improvements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Furniture</w:t>
              <w:br/>
              <w:t>and other</w:t>
              <w:br/>
              <w:t>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removal for 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Provided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removal for 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Provided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above items of plant and equipment are depreciated over their estimated useful lives between 3 to 5 years, using straight-line method after taking into account the residual values, at the following rates per annum:</w:t>
      </w:r>
    </w:p>
    <w:p>
      <w:pPr>
        <w:pStyle w:val="TextBody"/>
        <w:bidi w:val="0"/>
        <w:jc w:val="left"/>
        <w:rPr/>
      </w:pPr>
      <w:r>
        <w:rPr/>
        <w:t> </w:t>
      </w:r>
    </w:p>
    <w:tbl>
      <w:tblPr>
        <w:tblW w:w="6883" w:type="dxa"/>
        <w:jc w:val="left"/>
        <w:tblInd w:w="0" w:type="dxa"/>
        <w:tblLayout w:type="fixed"/>
        <w:tblCellMar>
          <w:top w:w="28" w:type="dxa"/>
          <w:left w:w="28" w:type="dxa"/>
          <w:bottom w:w="28" w:type="dxa"/>
          <w:right w:w="28" w:type="dxa"/>
        </w:tblCellMar>
      </w:tblPr>
      <w:tblGrid>
        <w:gridCol w:w="2596"/>
        <w:gridCol w:w="146"/>
        <w:gridCol w:w="414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the shorter of the relevant lease term or 20%</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other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 - 33%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RIGHT-OF-USE ASSETS</w:t>
      </w:r>
    </w:p>
    <w:tbl>
      <w:tblPr>
        <w:tblW w:w="6642" w:type="dxa"/>
        <w:jc w:val="left"/>
        <w:tblInd w:w="0" w:type="dxa"/>
        <w:tblLayout w:type="fixed"/>
        <w:tblCellMar>
          <w:top w:w="28" w:type="dxa"/>
          <w:left w:w="28" w:type="dxa"/>
          <w:bottom w:w="28" w:type="dxa"/>
          <w:right w:w="28" w:type="dxa"/>
        </w:tblCellMar>
      </w:tblPr>
      <w:tblGrid>
        <w:gridCol w:w="3121"/>
        <w:gridCol w:w="146"/>
        <w:gridCol w:w="211"/>
        <w:gridCol w:w="631"/>
        <w:gridCol w:w="166"/>
        <w:gridCol w:w="146"/>
        <w:gridCol w:w="307"/>
        <w:gridCol w:w="549"/>
        <w:gridCol w:w="166"/>
        <w:gridCol w:w="146"/>
        <w:gridCol w:w="211"/>
        <w:gridCol w:w="63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Derecognized upon end of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Derecognized upon end of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Provided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Derecognized upon end of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Provided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Derecognized upon end of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right-of-use assets are depreciated over the lease terms using straight-line method.</w:t>
      </w:r>
    </w:p>
    <w:p>
      <w:pPr>
        <w:pStyle w:val="TextBody"/>
        <w:bidi w:val="0"/>
        <w:jc w:val="left"/>
        <w:rPr/>
      </w:pPr>
      <w:r>
        <w:rPr/>
        <w:t> </w:t>
      </w:r>
    </w:p>
    <w:tbl>
      <w:tblPr>
        <w:tblW w:w="5908" w:type="dxa"/>
        <w:jc w:val="left"/>
        <w:tblInd w:w="0" w:type="dxa"/>
        <w:tblLayout w:type="fixed"/>
        <w:tblCellMar>
          <w:top w:w="28" w:type="dxa"/>
          <w:left w:w="28" w:type="dxa"/>
          <w:bottom w:w="28" w:type="dxa"/>
          <w:right w:w="28" w:type="dxa"/>
        </w:tblCellMar>
      </w:tblPr>
      <w:tblGrid>
        <w:gridCol w:w="3091"/>
        <w:gridCol w:w="146"/>
        <w:gridCol w:w="211"/>
        <w:gridCol w:w="421"/>
        <w:gridCol w:w="146"/>
        <w:gridCol w:w="146"/>
        <w:gridCol w:w="211"/>
        <w:gridCol w:w="421"/>
        <w:gridCol w:w="146"/>
        <w:gridCol w:w="146"/>
        <w:gridCol w:w="211"/>
        <w:gridCol w:w="42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relating to short-term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outflow for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Lease contracts are entered into for fixed terms of 12 months to 60 months, without extension and termination options. Lease terms are negotiated on an individual basis and contain a wide range of different terms and conditions. In determining the lease term and assessing the length of the non-cancellable period, the Group applies the definition of a contract and determines the period for which the contract is 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regularly entered into short-term leases for plant and equipment and laboratory premises. As of December 31, 2024 and 2025, the portfolio of short-term leases is similar to the portfolio of short-term leases to which the short-term lease expense disclosed above.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Restrictions or covenants on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lease liabilities of $966.0 thousand and $643.0 thousand are recognized with related right-of-use assets of $927.0 thousand and $577.0 thousand as of December 31, 2024 and 2025, respectively. The lease agreements do not impose any covenants other than the security interests in the leased assets that are held by the lessor. Leased assets may not be used as security for borrowing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INTANGIBLE ASSETS</w:t>
      </w:r>
    </w:p>
    <w:p>
      <w:pPr>
        <w:pStyle w:val="TextBody"/>
        <w:bidi w:val="0"/>
        <w:jc w:val="left"/>
        <w:rPr/>
      </w:pPr>
      <w:r>
        <w:rPr/>
        <w:t> </w:t>
      </w:r>
    </w:p>
    <w:tbl>
      <w:tblPr>
        <w:tblW w:w="7389" w:type="dxa"/>
        <w:jc w:val="left"/>
        <w:tblInd w:w="0" w:type="dxa"/>
        <w:tblLayout w:type="fixed"/>
        <w:tblCellMar>
          <w:top w:w="28" w:type="dxa"/>
          <w:left w:w="28" w:type="dxa"/>
          <w:bottom w:w="28" w:type="dxa"/>
          <w:right w:w="28" w:type="dxa"/>
        </w:tblCellMar>
      </w:tblPr>
      <w:tblGrid>
        <w:gridCol w:w="3316"/>
        <w:gridCol w:w="146"/>
        <w:gridCol w:w="333"/>
        <w:gridCol w:w="762"/>
        <w:gridCol w:w="166"/>
        <w:gridCol w:w="146"/>
        <w:gridCol w:w="234"/>
        <w:gridCol w:w="816"/>
        <w:gridCol w:w="166"/>
        <w:gridCol w:w="146"/>
        <w:gridCol w:w="211"/>
        <w:gridCol w:w="736"/>
        <w:gridCol w:w="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Patent rights</w:t>
              <w:br/>
              <w:t>(available for</w:t>
              <w:br/>
              <w:t>use)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Patent rights</w:t>
              <w:br/>
              <w:t>(not yet</w:t>
              <w:br/>
              <w:t>available</w:t>
              <w:br/>
              <w:t>for use)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 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 ii)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2023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4"/>
        </w:rPr>
      </w:pPr>
      <w:r>
        <w:rPr>
          <w:rFonts w:ascii="Times New Roman" w:hAnsi="Times New Roman"/>
          <w:color w:val="000000"/>
          <w:sz w:val="20"/>
        </w:rPr>
        <w:t>The patent rights grant the Group the right to use certain scientific data for research and manufacture of pipelines, namely APL-501, APL-502 and APL-509. During the years ended December 31, 2023, 2024 and 2025, patent rights with carrying amount of nil, nil, and $0.2</w:t>
      </w:r>
      <w:r>
        <w:rPr>
          <w:rFonts w:ascii="Times New Roman" w:hAnsi="Times New Roman"/>
          <w:color w:val="000000"/>
          <w:sz w:val="24"/>
        </w:rPr>
        <w:t xml:space="preserve"> </w:t>
      </w:r>
      <w:r>
        <w:rPr>
          <w:rFonts w:ascii="Times New Roman" w:hAnsi="Times New Roman"/>
          <w:color w:val="000000"/>
          <w:sz w:val="20"/>
        </w:rPr>
        <w:t>million were impaired, respectively. For these patent rights, as they were acquired in connection with the development and manufacturing of certain biologic product candidates, which was subsequently determined to not align with future operational and strategic objectives. Accordingly, the Group has fully impaired the patent rights with reference to their respective recoverable amounts determined on value in use calculations.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sz w:val="24"/>
        </w:rPr>
      </w:pPr>
      <w:r>
        <w:rPr>
          <w:rFonts w:ascii="Times New Roman" w:hAnsi="Times New Roman"/>
          <w:color w:val="000000"/>
          <w:sz w:val="20"/>
        </w:rPr>
        <w:t>These patent rights are not yet available for use by the Group as the Group is still undergoing pre-clinical study application or clinical trials on the relevant drugs in designated territories under the patent rights and has yet to obtain regulatory approval for the new drug to be launched to the market. The patent rights are tested for impairment annually and whenever there is an indication that they may be impaired. Amortization will commence when the patent rights are available for use (i.e. when they are ready for commercialization and have obtained the regulatory new drug application approval</w:t>
      </w:r>
      <w:r>
        <w:rPr>
          <w:rFonts w:ascii="Times New Roman" w:hAnsi="Times New Roman"/>
          <w:color w:val="000000"/>
          <w:sz w:val="24"/>
        </w:rPr>
        <w:t xml:space="preserve"> </w:t>
      </w:r>
      <w:r>
        <w:rPr>
          <w:rFonts w:ascii="Times New Roman" w:hAnsi="Times New Roman"/>
          <w:color w:val="000000"/>
          <w:sz w:val="20"/>
        </w:rPr>
        <w:t>in the designated territories) by the Group. During the years ended December 31, 2023, 2024 and 2025, patent rights with carrying amount of nil, $13.0</w:t>
      </w:r>
      <w:r>
        <w:rPr>
          <w:rFonts w:ascii="Times New Roman" w:hAnsi="Times New Roman"/>
          <w:color w:val="000000"/>
          <w:sz w:val="24"/>
        </w:rPr>
        <w:t xml:space="preserve"> </w:t>
      </w:r>
      <w:r>
        <w:rPr>
          <w:rFonts w:ascii="Times New Roman" w:hAnsi="Times New Roman"/>
          <w:color w:val="000000"/>
          <w:sz w:val="20"/>
        </w:rPr>
        <w:t>million, and $1.5</w:t>
      </w:r>
      <w:r>
        <w:rPr>
          <w:rFonts w:ascii="Times New Roman" w:hAnsi="Times New Roman"/>
          <w:color w:val="000000"/>
          <w:sz w:val="24"/>
        </w:rPr>
        <w:t xml:space="preserve"> </w:t>
      </w:r>
      <w:r>
        <w:rPr>
          <w:rFonts w:ascii="Times New Roman" w:hAnsi="Times New Roman"/>
          <w:color w:val="000000"/>
          <w:sz w:val="20"/>
        </w:rPr>
        <w:t>million were impaired, respectively. For these patent rights, as they were acquired for combination trial of an existing drug candidate, which was subsequently replaced by another formulation, or acquired for self-development that the Group cannot proceed further research due to the failure in providing drug supplies by the original vendor according to the agreement. Accordingly, the Group has fully impaired the patent rights with reference to their respective recoverable amounts determined on value in use calculations.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rights (available for use) have finite lives and are amortized on a straight-line basis. The useful lives of patent rights ranged between 10 to 18 years for the years ended December 31, 2023, 2024 and 2025. The useful lives of patent rights were determined by the management of the Group taking into account the period over which the patent rights are expected to be available for use by the Group and the stability of the industry.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DEFERRED TAXATION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purpose of presentation in the consolidated financial statements, the deferred tax assets and liabilities have been offset.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 deferred tax assets (liabilities) recognized and movements thereon during the years ended December 31, 2023, 2024 and 2025 are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tbl>
      <w:tblPr>
        <w:tblW w:w="6860" w:type="dxa"/>
        <w:jc w:val="left"/>
        <w:tblInd w:w="0" w:type="dxa"/>
        <w:tblLayout w:type="fixed"/>
        <w:tblCellMar>
          <w:top w:w="28" w:type="dxa"/>
          <w:left w:w="28" w:type="dxa"/>
          <w:bottom w:w="28" w:type="dxa"/>
          <w:right w:w="28" w:type="dxa"/>
        </w:tblCellMar>
      </w:tblPr>
      <w:tblGrid>
        <w:gridCol w:w="3421"/>
        <w:gridCol w:w="146"/>
        <w:gridCol w:w="447"/>
        <w:gridCol w:w="798"/>
        <w:gridCol w:w="166"/>
        <w:gridCol w:w="146"/>
        <w:gridCol w:w="242"/>
        <w:gridCol w:w="434"/>
        <w:gridCol w:w="166"/>
        <w:gridCol w:w="146"/>
        <w:gridCol w:w="211"/>
        <w:gridCol w:w="34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Accelerated tax</w:t>
              <w:br/>
              <w:t>depreciation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(charge) to profit or loss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(charge) to profit or loss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(charge) to profit or loss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Group had unused tax losses, temporary differences and unused tax credits of $134,868 thousand, $12,976 thousand, and $6,000 thousand, respectively, as of December 31, 2025. No deferred tax asset has been recognized due to the unpredictability of future profit streams. As of December 31, 2024 and 2025, the unrecognized tax losses and temporary differences will be carried forward and expire in years as follows:</w:t>
      </w:r>
    </w:p>
    <w:p>
      <w:pPr>
        <w:pStyle w:val="TextBody"/>
        <w:bidi w:val="0"/>
        <w:jc w:val="left"/>
        <w:rPr/>
      </w:pPr>
      <w:r>
        <w:rPr/>
        <w:t> </w:t>
      </w:r>
    </w:p>
    <w:tbl>
      <w:tblPr>
        <w:tblW w:w="6454" w:type="dxa"/>
        <w:jc w:val="left"/>
        <w:tblInd w:w="0" w:type="dxa"/>
        <w:tblLayout w:type="fixed"/>
        <w:tblCellMar>
          <w:top w:w="28" w:type="dxa"/>
          <w:left w:w="28" w:type="dxa"/>
          <w:bottom w:w="28" w:type="dxa"/>
          <w:right w:w="28" w:type="dxa"/>
        </w:tblCellMar>
      </w:tblPr>
      <w:tblGrid>
        <w:gridCol w:w="3841"/>
        <w:gridCol w:w="146"/>
        <w:gridCol w:w="211"/>
        <w:gridCol w:w="781"/>
        <w:gridCol w:w="146"/>
        <w:gridCol w:w="146"/>
        <w:gridCol w:w="211"/>
        <w:gridCol w:w="78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unused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effected deductible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December 31, 2025 the unused credits will be carried forward and expire in years as follows:</w:t>
      </w:r>
    </w:p>
    <w:tbl>
      <w:tblPr>
        <w:tblW w:w="3190" w:type="dxa"/>
        <w:jc w:val="left"/>
        <w:tblInd w:w="0" w:type="dxa"/>
        <w:tblLayout w:type="fixed"/>
        <w:tblCellMar>
          <w:top w:w="28" w:type="dxa"/>
          <w:left w:w="28" w:type="dxa"/>
          <w:bottom w:w="28" w:type="dxa"/>
          <w:right w:w="28" w:type="dxa"/>
        </w:tblCellMar>
      </w:tblPr>
      <w:tblGrid>
        <w:gridCol w:w="2071"/>
        <w:gridCol w:w="146"/>
        <w:gridCol w:w="211"/>
        <w:gridCol w:w="5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unused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has estimated the expected outcome of the disputes by using the expected value method to determine the provisions for uncertain tax treatment. The Group reported uncertain tax treatment of $1,700 thousand and $1,700 thousand as of December 31, 2024 and as of December 31, 2025, respectively, netted in the deferred tax assets, that are not recognized in the financial statements.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18.</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DEPOSITS, PREPAYMENTS AND DEFERRED EXPENSES</w:t>
      </w:r>
    </w:p>
    <w:p>
      <w:pPr>
        <w:pStyle w:val="TextBody"/>
        <w:bidi w:val="0"/>
        <w:jc w:val="left"/>
        <w:rPr>
          <w:rFonts w:ascii="Times New Roman" w:hAnsi="Times New Roman"/>
          <w:color w:val="FFFFFF"/>
          <w:sz w:val="24"/>
        </w:rPr>
      </w:pPr>
      <w:r>
        <w:rPr>
          <w:rFonts w:ascii="Times New Roman" w:hAnsi="Times New Roman"/>
          <w:color w:val="FFFFFF"/>
          <w:sz w:val="24"/>
        </w:rPr>
        <w:t>---------------------------------------------------------------------------------------------------------------------------------------</w:t>
      </w:r>
    </w:p>
    <w:p>
      <w:pPr>
        <w:pStyle w:val="TextBody"/>
        <w:bidi w:val="0"/>
        <w:jc w:val="left"/>
        <w:rPr/>
      </w:pPr>
      <w:r>
        <w:rPr/>
        <w:t> </w:t>
      </w:r>
    </w:p>
    <w:tbl>
      <w:tblPr>
        <w:tblW w:w="4444" w:type="dxa"/>
        <w:jc w:val="left"/>
        <w:tblInd w:w="0" w:type="dxa"/>
        <w:tblLayout w:type="fixed"/>
        <w:tblCellMar>
          <w:top w:w="28" w:type="dxa"/>
          <w:left w:w="28" w:type="dxa"/>
          <w:bottom w:w="28" w:type="dxa"/>
          <w:right w:w="28" w:type="dxa"/>
        </w:tblCellMar>
      </w:tblPr>
      <w:tblGrid>
        <w:gridCol w:w="2551"/>
        <w:gridCol w:w="146"/>
        <w:gridCol w:w="211"/>
        <w:gridCol w:w="421"/>
        <w:gridCol w:w="146"/>
        <w:gridCol w:w="146"/>
        <w:gridCol w:w="211"/>
        <w:gridCol w:w="42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Value-Added Tax recoverable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19.</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SHORT TERM BANK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Company established two lines of credit totaling RMB 80 million (approximately $11.2 million) with two banks in China. Against one line of credit of RMB 50 million (approximately $7.0 million) the Company drew down RMB 20 million (approximately $2.8 million) for 8 months due July 2024 at 3.7% interest. Against the second bank’s line of credit of RMB 30 million (approximately $4.2 million) the Company drew down RMB 10 million (approximately $1.4 million) for 6 months due May 2024 at 3.2% interest. In May 2024 the Company paid off the second bank’s loan of RMB 10 million (approximately $1.4 million) and in June 2024 the Company drew down an additional RMB 5 million (approximately $0.7 million) for 1 month due in July 2024 at 3.2%. In July 2024 the Company paid off RMB 20 million (approximately $2.8 million) from the first bank’s loan and RMB 5 million (approximately $0.7 million) from the second bank’s loan. There were no outstanding loans as of December 31, 2024 and 2025, respectively.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20.</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Bank balances earned interest at prevailing market interest rates ranging from 0% to 5.1% for the year ended December 31, 2024 and from 3.6% to 4.3% for the year ended December 31,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presented on the consolidated statements of financial position include: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which comprises of cash on hand and demand deposits;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equivalents, which comprises of short-term (generally with original maturity of three months or less), highly liquid investments that are readily convertible to a known amount of cash and which are subject to an insignificant risk of changes in value. Cash equivalents are held for the purpose of meeting short-term cash commitments rather than for investment or other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purposes of the consolidated statements of cash flows, cash and cash equivalents consist of cash and cash equivalents as defined above.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21.</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PAYABLES AND ACCRUALS</w:t>
      </w:r>
    </w:p>
    <w:p>
      <w:pPr>
        <w:pStyle w:val="TextBody"/>
        <w:bidi w:val="0"/>
        <w:jc w:val="left"/>
        <w:rPr/>
      </w:pPr>
      <w:r>
        <w:rPr/>
        <w:t> </w:t>
      </w:r>
    </w:p>
    <w:tbl>
      <w:tblPr>
        <w:tblW w:w="7009" w:type="dxa"/>
        <w:jc w:val="left"/>
        <w:tblInd w:w="0" w:type="dxa"/>
        <w:tblLayout w:type="fixed"/>
        <w:tblCellMar>
          <w:top w:w="28" w:type="dxa"/>
          <w:left w:w="28" w:type="dxa"/>
          <w:bottom w:w="28" w:type="dxa"/>
          <w:right w:w="28" w:type="dxa"/>
        </w:tblCellMar>
      </w:tblPr>
      <w:tblGrid>
        <w:gridCol w:w="4816"/>
        <w:gridCol w:w="146"/>
        <w:gridCol w:w="211"/>
        <w:gridCol w:w="571"/>
        <w:gridCol w:w="146"/>
        <w:gridCol w:w="146"/>
        <w:gridCol w:w="211"/>
        <w:gridCol w:w="571"/>
        <w:gridCol w:w="1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in respect of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LEASE LIABILITIES</w:t>
      </w:r>
    </w:p>
    <w:p>
      <w:pPr>
        <w:pStyle w:val="TextBody"/>
        <w:bidi w:val="0"/>
        <w:jc w:val="left"/>
        <w:rPr/>
      </w:pPr>
      <w:r>
        <w:rPr/>
        <w:t> </w:t>
      </w:r>
    </w:p>
    <w:tbl>
      <w:tblPr>
        <w:tblW w:w="6839" w:type="dxa"/>
        <w:jc w:val="left"/>
        <w:tblInd w:w="0" w:type="dxa"/>
        <w:tblLayout w:type="fixed"/>
        <w:tblCellMar>
          <w:top w:w="28" w:type="dxa"/>
          <w:left w:w="28" w:type="dxa"/>
          <w:bottom w:w="28" w:type="dxa"/>
          <w:right w:w="28" w:type="dxa"/>
        </w:tblCellMar>
      </w:tblPr>
      <w:tblGrid>
        <w:gridCol w:w="4786"/>
        <w:gridCol w:w="146"/>
        <w:gridCol w:w="211"/>
        <w:gridCol w:w="481"/>
        <w:gridCol w:w="166"/>
        <w:gridCol w:w="146"/>
        <w:gridCol w:w="211"/>
        <w:gridCol w:w="48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one year, but not exceeding two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two years, but not exceeding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due for settlement within 12 months shown</w:t>
              <w:br/>
              <w:t>   under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due for settlement after 12 months shown</w:t>
              <w:br/>
              <w:t>   under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Group leased various offices, and plant and equipment as disclosed in Note 15 for its administration, and research and development activities. These lease liabilities were measured at the present value of the lease payments that are not yet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does not face a significant liquidity risk with regard to its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agreements did not contain any contingent rent nor any purchase option for the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incremental borrowing rates applied to lease liabilities range from 4.75% to 6.65% during the years ended December 31, 2024 and 2025.</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23.</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NON-CURRENT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19, 2025, the Group entered into a settlement agreement to fully resolve and conclude all matters related to legal proceedings previously filed in the Grand Court of the Cayman Islands by two minority investors. Under the terms of the agreement, the Group agreed to pay $5.0 million in cash and approximately $0.9 million in associated legal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$4.0 million of the settlement obligation remains unpaid. Based on the payment due dates, $1.0 million of the settlement obligation is included in other payables and accruals, with the remaining $3.0 million classified as other non-current liabilities as of December 31, 2025.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24.</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CONVERTIBLE PREFERRED SHARES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In prior fiscal years, we were dependent upon our convertible preferred shares as significant sources of liquidity. All of these converted as of March 29, 2023 in connection with the closing of the Company’s qualified initial public offering (“QIPO”). As of March 29, 2023, the applicable conversion ratio was 1:1.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Company entered into preferred share subscription agreements with several independent investors and the details of issued preferred shares (the “Preferred Shares”) are set out as follows:</w:t>
      </w:r>
    </w:p>
    <w:p>
      <w:pPr>
        <w:pStyle w:val="TextBody"/>
        <w:bidi w:val="0"/>
        <w:jc w:val="left"/>
        <w:rPr/>
      </w:pPr>
      <w:r>
        <w:rPr/>
        <w:t> </w:t>
      </w:r>
    </w:p>
    <w:tbl>
      <w:tblPr>
        <w:tblW w:w="8662" w:type="dxa"/>
        <w:jc w:val="left"/>
        <w:tblInd w:w="0" w:type="dxa"/>
        <w:tblLayout w:type="fixed"/>
        <w:tblCellMar>
          <w:top w:w="28" w:type="dxa"/>
          <w:left w:w="28" w:type="dxa"/>
          <w:bottom w:w="28" w:type="dxa"/>
          <w:right w:w="28" w:type="dxa"/>
        </w:tblCellMar>
      </w:tblPr>
      <w:tblGrid>
        <w:gridCol w:w="2221"/>
        <w:gridCol w:w="146"/>
        <w:gridCol w:w="1936"/>
        <w:gridCol w:w="146"/>
        <w:gridCol w:w="210"/>
        <w:gridCol w:w="1125"/>
        <w:gridCol w:w="146"/>
        <w:gridCol w:w="146"/>
        <w:gridCol w:w="211"/>
        <w:gridCol w:w="886"/>
        <w:gridCol w:w="146"/>
        <w:gridCol w:w="146"/>
        <w:gridCol w:w="213"/>
        <w:gridCol w:w="793"/>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issue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Preferred Shares</w:t>
              <w:br/>
              <w:t>issue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w:t>
              <w:br/>
              <w:t>price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26, 2016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28,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21, 2017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25,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19, 2018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27,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8, 2019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25,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10, 2020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5, 2020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Presentation and Classification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designate the Preferred Shares as financial liabilities at FVTPL as a whole. The fair value change of the Preferred Shares is charged/credited to fair value change of Preferred Shares in profit or loss except for the portion attributable to credit risk change which shall be charged/credited to other comprehensive income, if any. The fair value change recognized in profit or loss includes any interest paid, if any, on the financial liabilities. The management of the Company considered that there is insignificant credit risk change on the financial liabilities that drives the fair value change of the Preferred Shares during the years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movement of the Preferred Shares at the end of the year ended December 31, 2023 is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tbl>
      <w:tblPr>
        <w:tblW w:w="7918" w:type="dxa"/>
        <w:jc w:val="left"/>
        <w:tblInd w:w="0" w:type="dxa"/>
        <w:tblLayout w:type="fixed"/>
        <w:tblCellMar>
          <w:top w:w="28" w:type="dxa"/>
          <w:left w:w="28" w:type="dxa"/>
          <w:bottom w:w="28" w:type="dxa"/>
          <w:right w:w="28" w:type="dxa"/>
        </w:tblCellMar>
      </w:tblPr>
      <w:tblGrid>
        <w:gridCol w:w="6256"/>
        <w:gridCol w:w="146"/>
        <w:gridCol w:w="261"/>
        <w:gridCol w:w="1044"/>
        <w:gridCol w:w="21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shares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convertible preferred shares into post-closing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29, 2023, all the preferred shares were converted into common shares, and therefore as of December 31, 2023, 2024, and 2025, respectively, there are no longer any preferred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Preferred Shares were valued by the management of the Company with reference to valuations carried out by an independent qualified professional valuer not connected with the Group, which has appropriate qualifications and experiences in valuation of similar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used the Black-Scholes model to determine the underlying share value of the Company and performed an equity allocation based on option pricing model (the “OPM” model) to arrive the fair value of the Preferred Shares at the end of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underlying share value of the Company determined by Black-Scholes model, other key valuation assumptions used in the OPM model to determine the fair value of the Preferred Shares are as follows:</w:t>
      </w:r>
    </w:p>
    <w:p>
      <w:pPr>
        <w:pStyle w:val="TextBody"/>
        <w:bidi w:val="0"/>
        <w:jc w:val="left"/>
        <w:rPr/>
      </w:pPr>
      <w:r>
        <w:rPr/>
        <w:t> </w:t>
      </w:r>
    </w:p>
    <w:tbl>
      <w:tblPr>
        <w:tblW w:w="4974" w:type="dxa"/>
        <w:jc w:val="left"/>
        <w:tblInd w:w="0" w:type="dxa"/>
        <w:tblLayout w:type="fixed"/>
        <w:tblCellMar>
          <w:top w:w="28" w:type="dxa"/>
          <w:left w:w="28" w:type="dxa"/>
          <w:bottom w:w="28" w:type="dxa"/>
          <w:right w:w="28" w:type="dxa"/>
        </w:tblCellMar>
      </w:tblPr>
      <w:tblGrid>
        <w:gridCol w:w="3381"/>
        <w:gridCol w:w="346"/>
        <w:gridCol w:w="222"/>
        <w:gridCol w:w="709"/>
        <w:gridCol w:w="316"/>
      </w:tblGrid>
      <w:tr>
        <w:trPr/>
        <w:tc>
          <w:tcPr>
            <w:tcW w:w="3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liquidation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rate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volatility (note)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 yield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Possibility under IPO scenario</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Possibility under liquidation scenario</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Note: </w:t>
      </w:r>
      <w:r>
        <w:rPr>
          <w:rFonts w:ascii="Times New Roman" w:hAnsi="Times New Roman"/>
          <w:color w:val="000000"/>
          <w:sz w:val="20"/>
        </w:rPr>
        <w:t>The expected volatility measured at the standard deviation is based on the historical data of the daily share price movement of comparable companies.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25.</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SHARE CAPITAL/TREASURY SHARES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Share capital</w:t>
      </w:r>
    </w:p>
    <w:p>
      <w:pPr>
        <w:pStyle w:val="TextBody"/>
        <w:bidi w:val="0"/>
        <w:spacing w:before="120"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share capital as of January 1, 2023, December 31, 2024 and 2025 have been presented to give effect to the Business Combination of March 29, 2023 and the recapitalization at the exchange ratio of 0.071679, except for the authorized shares, and these are as follows:</w:t>
      </w:r>
    </w:p>
    <w:tbl>
      <w:tblPr>
        <w:tblW w:w="10205" w:type="dxa"/>
        <w:jc w:val="left"/>
        <w:tblInd w:w="0" w:type="dxa"/>
        <w:tblLayout w:type="fixed"/>
        <w:tblCellMar>
          <w:top w:w="28" w:type="dxa"/>
          <w:left w:w="28" w:type="dxa"/>
          <w:bottom w:w="28" w:type="dxa"/>
          <w:right w:w="28" w:type="dxa"/>
        </w:tblCellMar>
      </w:tblPr>
      <w:tblGrid>
        <w:gridCol w:w="5853"/>
        <w:gridCol w:w="146"/>
        <w:gridCol w:w="511"/>
        <w:gridCol w:w="146"/>
        <w:gridCol w:w="146"/>
        <w:gridCol w:w="1141"/>
        <w:gridCol w:w="146"/>
        <w:gridCol w:w="146"/>
        <w:gridCol w:w="168"/>
        <w:gridCol w:w="536"/>
        <w:gridCol w:w="146"/>
        <w:gridCol w:w="146"/>
        <w:gridCol w:w="211"/>
        <w:gridCol w:w="571"/>
        <w:gridCol w:w="192"/>
      </w:tblGrid>
      <w:tr>
        <w:trPr/>
        <w:tc>
          <w:tcPr>
            <w:tcW w:w="5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Issued and fully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share options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 net of redemptions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pre-closing Apollomics convertible preferred shares into Post-Closing Apollomics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Apollomics Class B Ordinary Shares issued to PIPE Investors,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post-closing Apollomics Class A Ordinary Shares upon the conversion of post-closing Apollomics Series A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to PIPE Investors,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to employees for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to board members for board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share options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to PIPE Investors, net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to board members for board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the ordinary shares and restricted shares issued during the years ended December 31, 2023, 2024, and 2025 rank </w:t>
      </w:r>
      <w:r>
        <w:rPr>
          <w:rFonts w:ascii="Times New Roman" w:hAnsi="Times New Roman"/>
          <w:i/>
          <w:color w:val="000000"/>
          <w:sz w:val="20"/>
        </w:rPr>
        <w:t xml:space="preserve">pari passu </w:t>
      </w:r>
      <w:r>
        <w:rPr>
          <w:rFonts w:ascii="Times New Roman" w:hAnsi="Times New Roman"/>
          <w:color w:val="000000"/>
          <w:sz w:val="20"/>
        </w:rPr>
        <w:t>with the existing shares in all respects.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Notes: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share option holders exercised their rights to subscribe for 624 ordinary shares made up as follows: 389, 162, 41 and 32 ordinary shares in the Company at an exercise price of $28.00, $293.00, $363.00 and $432.00 per share,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2024, share option holders did not exercise their rights to subscribe for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share option holders exercised their rights to subscribe for 954 ordinary shares made up as follows: 155, 37, 530, 124 and 108 ordinary shares in the Company at an exercise price of $14.11, $14.59, $15.24. $21.45 and $20.96 per share,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Treasury shares</w:t>
      </w:r>
    </w:p>
    <w:p>
      <w:pPr>
        <w:pStyle w:val="TextBody"/>
        <w:bidi w:val="0"/>
        <w:jc w:val="left"/>
        <w:rPr/>
      </w:pPr>
      <w:r>
        <w:rPr/>
        <w:t> </w:t>
      </w:r>
    </w:p>
    <w:tbl>
      <w:tblPr>
        <w:tblW w:w="6604" w:type="dxa"/>
        <w:jc w:val="left"/>
        <w:tblInd w:w="0" w:type="dxa"/>
        <w:tblLayout w:type="fixed"/>
        <w:tblCellMar>
          <w:top w:w="28" w:type="dxa"/>
          <w:left w:w="28" w:type="dxa"/>
          <w:bottom w:w="28" w:type="dxa"/>
          <w:right w:w="28" w:type="dxa"/>
        </w:tblCellMar>
      </w:tblPr>
      <w:tblGrid>
        <w:gridCol w:w="3061"/>
        <w:gridCol w:w="146"/>
        <w:gridCol w:w="166"/>
        <w:gridCol w:w="719"/>
        <w:gridCol w:w="166"/>
        <w:gridCol w:w="146"/>
        <w:gridCol w:w="178"/>
        <w:gridCol w:w="828"/>
        <w:gridCol w:w="146"/>
        <w:gridCol w:w="146"/>
        <w:gridCol w:w="193"/>
        <w:gridCol w:w="498"/>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 exercised share options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 exercised share options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Early exercised share options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Treasury shares represented unvested restricted shares granted to the directors of the Company and an employee of the Group and the unvested restricted shares issued upon the early exercise of share options as elected by the director of the Company during the vesting period. As of December 31, 2024 and 2025, respectively, there were no treasury shares outstanding.</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26.</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SHARE-BASED PAYMENT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19, 2016, the shareholders of the Company approved the adoption of the 2016 equity incentive plan (the “2016 Plan”) for the purpose of securing and retaining employees, directors and consultants of the Company, providing incentives for them to exert maximum efforts for the success of the Company and any affiliate and providing means by which such persons may benefit from increases in value of the ordinary shares of the Company. No further awards will be made under the 2016 Plan; however, awards outstanding under the 2016 Plan will continue to be governed by their existing terms. As of December 31, 2025, there were outstanding options to purchase 59,241 of our Class A Ordinary Shares with a weighted average exercise price of $419.60, 56,618 of which were vested and exercisable, and 2,623 outstanding unvested restricted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2016 Plan provided for the grant of the following types of share awards: (i) restricted share awards, (ii) share options, (iii) share appreciation rights, (iv) restricted share unit awards, and (v) other share awards.</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the Business Combination, the Apollomics Board adopted the 2023 Incentive Award Plan (as amended from time to time), which is referred to in this Annual Report as the “</w:t>
      </w:r>
      <w:r>
        <w:rPr>
          <w:rFonts w:ascii="Times New Roman" w:hAnsi="Times New Roman"/>
          <w:b/>
          <w:i/>
          <w:color w:val="000000"/>
          <w:sz w:val="20"/>
        </w:rPr>
        <w:t>2023 Incentive Plan</w:t>
      </w:r>
      <w:r>
        <w:rPr>
          <w:rFonts w:ascii="Times New Roman" w:hAnsi="Times New Roman"/>
          <w:color w:val="000000"/>
          <w:sz w:val="20"/>
        </w:rPr>
        <w:t>” and became effective as of the Closing. The 2023 Incentive Plan allows the Company to make equity and equity-based incentive awards to officers, employees, non-employee directors and consultants and affiliates. The Board anticipates that providing such persons with a direct stake in the Company will assure a closer alignment of the interests of such individuals with the Company’s interests and the interests of its shareholders, thereby stimulating their efforts on the Company’s behalf and strengthening their desire to remain with the Company and its affiliates. As of December 31, 2025, there were outstanding options to purchase 32,831 of our Class A Ordinary Shares with a weighted average exercise price of $66.09, 23,893 of which were vested and exercisable, and 8,938 outstanding unvested restricted shares.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Restricted share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guidance for share-based compensation, the fair value of the Company’s restricted share awards is based on the grant date fair value of the Company’s Class A Ordinary Shares. During the year ended December 31, 2025, all restricted share awards were granted with no purchase price. The weighted-average grant date fair value of the restricted share awards was nil during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expense recognized in the consolidated statements of loss and other comprehensive loss for the restricted shares granted was approximately nil, nil and nil, for the years ended December 31, 2023, 2024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Group’s restricted shares movement during the years ended December 31, 2023, 2024 and 2025:</w:t>
      </w:r>
    </w:p>
    <w:p>
      <w:pPr>
        <w:pStyle w:val="TextBody"/>
        <w:bidi w:val="0"/>
        <w:jc w:val="left"/>
        <w:rPr/>
      </w:pPr>
      <w:r>
        <w:rPr/>
        <w:t> </w:t>
      </w:r>
    </w:p>
    <w:p>
      <w:pPr>
        <w:pStyle w:val="TextBody"/>
        <w:bidi w:val="0"/>
        <w:jc w:val="left"/>
        <w:rPr/>
      </w:pPr>
      <w:r>
        <w:rPr/>
        <w:t> </w:t>
      </w:r>
    </w:p>
    <w:tbl>
      <w:tblPr>
        <w:tblW w:w="6072" w:type="dxa"/>
        <w:jc w:val="left"/>
        <w:tblInd w:w="0" w:type="dxa"/>
        <w:tblLayout w:type="fixed"/>
        <w:tblCellMar>
          <w:top w:w="28" w:type="dxa"/>
          <w:left w:w="28" w:type="dxa"/>
          <w:bottom w:w="28" w:type="dxa"/>
          <w:right w:w="28" w:type="dxa"/>
        </w:tblCellMar>
      </w:tblPr>
      <w:tblGrid>
        <w:gridCol w:w="2476"/>
        <w:gridCol w:w="146"/>
        <w:gridCol w:w="262"/>
        <w:gridCol w:w="623"/>
        <w:gridCol w:w="146"/>
        <w:gridCol w:w="146"/>
        <w:gridCol w:w="262"/>
        <w:gridCol w:w="623"/>
        <w:gridCol w:w="146"/>
        <w:gridCol w:w="146"/>
        <w:gridCol w:w="165"/>
        <w:gridCol w:w="720"/>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unvested</w:t>
              <w:br/>
              <w:t>restricted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unvested</w:t>
              <w:br/>
              <w:t>restricted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unvested</w:t>
              <w:br/>
              <w:t>restricted</w:t>
              <w:br/>
              <w:t>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range of subscription price for the restricted shares in 2023 was $0.30 to $1.00 per share. The time-based restricted shares shall be entirely vested ratably on a monthly basis over 48-months vesting period or with 25% be vested on the first anniversary of the vesting inception date and remaining portion vested ratably on a monthly basis over 36-months vesting period. The milestone-based restricted shares were to vest upon achievement of specified performance conditions. The expected vesting period is estimated by the management of the Company based on the most likely outcome of each of the performance condition. During the years ended December 31, 2023, 2024 and 2025, 4,967, nil, and nil milestone-based restricted shares vested, respectively.</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Share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discloses movements of the Company’s share options under the 2016 and 2023 Plans held by grantees during the years ended December 31, 2023, 2024 and 2025:</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91"/>
        <w:gridCol w:w="146"/>
        <w:gridCol w:w="146"/>
        <w:gridCol w:w="781"/>
        <w:gridCol w:w="166"/>
        <w:gridCol w:w="146"/>
        <w:gridCol w:w="211"/>
        <w:gridCol w:w="781"/>
        <w:gridCol w:w="146"/>
        <w:gridCol w:w="146"/>
        <w:gridCol w:w="146"/>
        <w:gridCol w:w="781"/>
        <w:gridCol w:w="166"/>
        <w:gridCol w:w="146"/>
        <w:gridCol w:w="211"/>
        <w:gridCol w:w="781"/>
        <w:gridCol w:w="146"/>
        <w:gridCol w:w="146"/>
        <w:gridCol w:w="146"/>
        <w:gridCol w:w="781"/>
        <w:gridCol w:w="166"/>
        <w:gridCol w:w="146"/>
        <w:gridCol w:w="211"/>
        <w:gridCol w:w="781"/>
        <w:gridCol w:w="191"/>
      </w:tblGrid>
      <w:tr>
        <w:trPr/>
        <w:tc>
          <w:tcPr>
            <w:tcW w:w="2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the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share options granted in the above table under both the 2016 and 2023 Plans will be exercisable after the expiration of 10 years from the date of its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 options outstanding as of December 31, 2023, 2024 and 2025 had a weighted average remaining contractual life of 6.25 years, 5.50 years, and 5.50 - 6.02 years, respectively. During the years ended December 31, 2023, 2024 and 2025, the weighted average fair value of the share options granted were $713.00 per share, $60.42 per share, and $4.98 per share, respectively. The time-based share options will be vested ratably on a monthly basis over a range of a 24 month to 48 month vesting period or with 50% or 25% vested on the first anniversary of the vesting inception date and the remaining portion vested ratably on a monthly basis over the remaining 12 months to 36 months vesting period.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Option Pricing Model (“OPM”) was used to determine the fair value of the option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key inputs into the model were as follows:</w:t>
      </w:r>
    </w:p>
    <w:tbl>
      <w:tblPr>
        <w:tblW w:w="8258" w:type="dxa"/>
        <w:jc w:val="left"/>
        <w:tblInd w:w="0" w:type="dxa"/>
        <w:tblLayout w:type="fixed"/>
        <w:tblCellMar>
          <w:top w:w="28" w:type="dxa"/>
          <w:left w:w="28" w:type="dxa"/>
          <w:bottom w:w="28" w:type="dxa"/>
          <w:right w:w="28" w:type="dxa"/>
        </w:tblCellMar>
      </w:tblPr>
      <w:tblGrid>
        <w:gridCol w:w="3121"/>
        <w:gridCol w:w="146"/>
        <w:gridCol w:w="399"/>
        <w:gridCol w:w="951"/>
        <w:gridCol w:w="271"/>
        <w:gridCol w:w="146"/>
        <w:gridCol w:w="246"/>
        <w:gridCol w:w="790"/>
        <w:gridCol w:w="271"/>
        <w:gridCol w:w="146"/>
        <w:gridCol w:w="345"/>
        <w:gridCol w:w="1110"/>
        <w:gridCol w:w="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option fair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$14.00-712.70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$6.09-6.2044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$94.00-1,001.00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94.8%-126.9%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5.50-6.02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Note: </w:t>
      </w:r>
      <w:r>
        <w:rPr>
          <w:rFonts w:ascii="Times New Roman" w:hAnsi="Times New Roman"/>
          <w:color w:val="000000"/>
          <w:sz w:val="20"/>
        </w:rPr>
        <w:t>The expected volatility measured at the standard deviation is based on the historical data of the daily share price movement of comparable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expenses recognized in the consolidated statements of loss and other comprehensive loss for share options and restricted stocks granted under the 2016 and 2023 Plans are approximately $12.7 million, $10.9 million, and $(1.0) million for the years ended December 31, 2023, 2024 and 2025, respectively. The negative expense recognized in 2025 was primarily attributable to the reversal of previously recognized share-based compensation expense resulting from forfeitures upon employees and management departures during the year.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Restricted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was no restricted stock issued under the 2016 Plan during the years ended December 31, 2024 and 2025 and the Company will not make any further awards under the 2016 Plan. Under the 2023 Plan, the following table discloses movements of the Company’s restricted stock under the 2023 Plan for the year December 31, 2025.</w:t>
      </w:r>
    </w:p>
    <w:tbl>
      <w:tblPr>
        <w:tblW w:w="5991" w:type="dxa"/>
        <w:jc w:val="left"/>
        <w:tblInd w:w="0" w:type="dxa"/>
        <w:tblLayout w:type="fixed"/>
        <w:tblCellMar>
          <w:top w:w="28" w:type="dxa"/>
          <w:left w:w="28" w:type="dxa"/>
          <w:bottom w:w="28" w:type="dxa"/>
          <w:right w:w="28" w:type="dxa"/>
        </w:tblCellMar>
      </w:tblPr>
      <w:tblGrid>
        <w:gridCol w:w="2941"/>
        <w:gridCol w:w="146"/>
        <w:gridCol w:w="239"/>
        <w:gridCol w:w="1036"/>
        <w:gridCol w:w="199"/>
        <w:gridCol w:w="175"/>
        <w:gridCol w:w="253"/>
        <w:gridCol w:w="81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 stocks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color w:val="000000"/>
          <w:sz w:val="18"/>
        </w:rPr>
      </w:pPr>
      <w:r>
        <w:rPr>
          <w:rFonts w:ascii="Times New Roman" w:hAnsi="Times New Roman"/>
          <w:color w:val="000000"/>
          <w:sz w:val="18"/>
        </w:rPr>
        <w:t>27.</w:t>
      </w:r>
    </w:p>
    <w:p>
      <w:pPr>
        <w:pStyle w:val="TextBody"/>
        <w:bidi w:val="0"/>
        <w:spacing w:before="360" w:after="283"/>
        <w:jc w:val="left"/>
        <w:rPr>
          <w:rFonts w:ascii="Times New Roman" w:hAnsi="Times New Roman"/>
          <w:color w:val="000000"/>
          <w:sz w:val="18"/>
        </w:rPr>
      </w:pPr>
      <w:r>
        <w:rPr>
          <w:rFonts w:ascii="Times New Roman" w:hAnsi="Times New Roman"/>
          <w:color w:val="000000"/>
          <w:sz w:val="18"/>
        </w:rPr>
        <w:t>CAPITAL 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manages its capital to ensure the Group will be able to continue as a going concern while maximizing the return to stakeholders through the optimization of the debt and equity balance. The Group’s overall strategy remains unchanged throughout the years ended December 31, 2023, 2024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capital structure of the Group consists of net debt, which includes lease liabilities as disclosed in Note 22, net of cash and cash equivalents, and equity attributable to owners of the Company, comprising issued share capital, share premium, accumulated losses and various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regularly reviews the capital structure from time to time. As part of this review, the Group considers the cost of capital and the risks associated with each class of capital. The Group may balance its overall capital structure through the payment of dividends, new share issues as well as raising new debt or redemption of existing debts.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28.</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of the Group's financial liabilities that are measured at fair value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Group's financial liabilities are measured at fair value at the end of each reporting period. The following table gives information about how the fair values of these financial liabilities are determined (in particular, the valuation techniques and inputs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72"/>
        <w:gridCol w:w="211"/>
        <w:gridCol w:w="421"/>
        <w:gridCol w:w="146"/>
        <w:gridCol w:w="146"/>
        <w:gridCol w:w="211"/>
        <w:gridCol w:w="421"/>
        <w:gridCol w:w="146"/>
        <w:gridCol w:w="952"/>
        <w:gridCol w:w="146"/>
        <w:gridCol w:w="3120"/>
        <w:gridCol w:w="146"/>
        <w:gridCol w:w="1246"/>
        <w:gridCol w:w="146"/>
        <w:gridCol w:w="1375"/>
      </w:tblGrid>
      <w:tr>
        <w:trPr/>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Fair value 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Relationship of</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Valuation technique(s) and key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unobservable inputs</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to fair value</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u w:val="single"/>
              </w:rPr>
            </w:pPr>
            <w:r>
              <w:rPr>
                <w:rFonts w:ascii="Times New Roman" w:hAnsi="Times New Roman"/>
                <w:color w:val="000000"/>
                <w:sz w:val="19"/>
                <w:u w:val="single"/>
              </w:rPr>
              <w:t>Financial liabilities</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Maxpro public warrants</w:t>
              <w:br/>
              <w:t>   assumed by</w:t>
              <w:br/>
              <w:t>   Apollomics (Note 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The public warrants are traded on the Nasdaq, the valuation is based on unadjusted quoted prices in active markets for identical assets or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Maxpro private warrants</w:t>
              <w:br/>
              <w:t>   assumed by</w:t>
              <w:br/>
              <w:t>   Apollomics, and</w:t>
              <w:br/>
              <w:t>   Private warrants issued</w:t>
              <w:br/>
              <w:t>   in connection with</w:t>
              <w:br/>
              <w:t>   the conversion of the</w:t>
              <w:br/>
              <w:t>   promissory note</w:t>
              <w:br/>
              <w:t>   payable to the Maxpro</w:t>
              <w:br/>
              <w:t>   Sponsor (Note 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Private warrants are considered to be economically equivalent to the public warrants. As such, the valuation of the public warrants was used to value the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Penny warrants (Note 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Black-Scholes model - the key inputs are: underlying share price, expected life in years, risk-free rate, expected volatility, and 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warrant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Group’s major financial instruments include rental deposits, financial asset at FVTPL, time deposits with original maturity over three months, cash and cash equivalents, other payables. Historically, the Group’s financial liabilities also included those arising from unvested restricted shares and convertible preferred shares. Details of the financial instruments are disclosed in respective notes. The Group’s activities expose it to a variety of financial risks: market risk (including currency risk, interest rate risk and other price risk), credit and counterparty risk and liquidity risk. The policies on how to mitigate these risks are set out below. The management of the Company manage and monitor these exposures to ensure appropriate measures are implemented on a timely and effective manner.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risk</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bank balances, deposits and other payables are denominated in currencies other than the functional currency of the group entities, which exposes the Group to 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currently does not have a foreign currency hedging policy. However, the management monitors foreign exchange exposure and will consider hedging significant foreign currency exposure should the need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the Group’s foreign currency denominated monetary assets and monetary liabilities at the end of each reporting period are as follows:</w:t>
      </w:r>
    </w:p>
    <w:p>
      <w:pPr>
        <w:pStyle w:val="TextBody"/>
        <w:bidi w:val="0"/>
        <w:jc w:val="left"/>
        <w:rPr/>
      </w:pPr>
      <w:r>
        <w:rPr/>
        <w:t> </w:t>
      </w:r>
    </w:p>
    <w:tbl>
      <w:tblPr>
        <w:tblW w:w="6682" w:type="dxa"/>
        <w:jc w:val="left"/>
        <w:tblInd w:w="0" w:type="dxa"/>
        <w:tblLayout w:type="fixed"/>
        <w:tblCellMar>
          <w:top w:w="28" w:type="dxa"/>
          <w:left w:w="28" w:type="dxa"/>
          <w:bottom w:w="28" w:type="dxa"/>
          <w:right w:w="28" w:type="dxa"/>
        </w:tblCellMar>
      </w:tblPr>
      <w:tblGrid>
        <w:gridCol w:w="2341"/>
        <w:gridCol w:w="146"/>
        <w:gridCol w:w="211"/>
        <w:gridCol w:w="571"/>
        <w:gridCol w:w="146"/>
        <w:gridCol w:w="146"/>
        <w:gridCol w:w="211"/>
        <w:gridCol w:w="571"/>
        <w:gridCol w:w="146"/>
        <w:gridCol w:w="146"/>
        <w:gridCol w:w="211"/>
        <w:gridCol w:w="571"/>
        <w:gridCol w:w="146"/>
        <w:gridCol w:w="146"/>
        <w:gridCol w:w="211"/>
        <w:gridCol w:w="571"/>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Renminbi (“RMB”)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Australian Dollars (“AUD”)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Sensitivity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is mainly exposed to the fluctuation of foreign exchange rate of RMB and 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details the Group’s sensitivity to a 5% decrease in the functional currency of the relevant group entities against the relevant foreign currencies. The following sensitivity analysis includes only outstanding monetary items denominated in foreign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currencies and adjusts their translation at the year end for a 5% change in foreign currency exchange rate, which is the sensitivity rates used when reporting foreign currency risk internally to key management personnel and represents management’s assessment of the reasonably possible change in currencies exchange rates. A positive (negative) number below indicates a decrease (increase) in loss for the year when the foreign currency below strengthen 5% against the functional currency of the relevant group entities. For a 5% weakening of these foreign currencies against the functional currency of the relevant group entities, there would be an equal and opposite impact on the loss for the year.</w:t>
      </w:r>
    </w:p>
    <w:p>
      <w:pPr>
        <w:pStyle w:val="TextBody"/>
        <w:bidi w:val="0"/>
        <w:jc w:val="left"/>
        <w:rPr/>
      </w:pPr>
      <w:r>
        <w:rPr/>
        <w:t> </w:t>
      </w:r>
    </w:p>
    <w:tbl>
      <w:tblPr>
        <w:tblW w:w="5923" w:type="dxa"/>
        <w:jc w:val="left"/>
        <w:tblInd w:w="0" w:type="dxa"/>
        <w:tblLayout w:type="fixed"/>
        <w:tblCellMar>
          <w:top w:w="28" w:type="dxa"/>
          <w:left w:w="28" w:type="dxa"/>
          <w:bottom w:w="28" w:type="dxa"/>
          <w:right w:w="28" w:type="dxa"/>
        </w:tblCellMar>
      </w:tblPr>
      <w:tblGrid>
        <w:gridCol w:w="2956"/>
        <w:gridCol w:w="146"/>
        <w:gridCol w:w="211"/>
        <w:gridCol w:w="421"/>
        <w:gridCol w:w="146"/>
        <w:gridCol w:w="146"/>
        <w:gridCol w:w="211"/>
        <w:gridCol w:w="571"/>
        <w:gridCol w:w="146"/>
        <w:gridCol w:w="146"/>
        <w:gridCol w:w="211"/>
        <w:gridCol w:w="42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RMB on 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AUD on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management’s opinion, the sensitivity analysis is unrepresentative of the inherent foreign exchange risk as the year end exposure does not reflect the exposure during the years ended December 31, 2023, 2024 and 2025.</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are exposed to fair value interest rate risk in relation to time deposits and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are also exposed to cash flow interest rate risk in relation to variable-rate bank balances as disclosed in Note 21. The Group’s cash flow interest rate risk are mainly concentrated on the fluctuation of interest rates on bank balances. The management of the Company consider that the exposure of cash flow interest rate risk arising from variable-rate bank balances is insignificant, therefore no sensitivity analysis on such risk has been prepared.</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Other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are exposed to other price risk arising from the investment in money market funds in the U.S.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Sensitivity analysis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Investment in money market fund in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sensitivity analysis is performed as the management of the Company consider that the exposure of other price risk arising from the investment in a money market fund in the U.S. is insignificant because the investment is mainly on U.S. treasury bonds with high credit rating and liquidity.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Credit and counterparty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Credit and counterparty risk refers to the risk that a counterparty will default on its contractual obligations resulting financial loss to the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minimize the credit risk, the Company reviews the recoverable amount of each individual debt at the end of each reporting period to ensure that adequate impairment losses are made for irrecoverable amounts. In this regard, the management of the Company consider that the Group’s credit and counterparty risk is significantly reduced.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Group’s internal credit risk grading assessment comprises the following categories: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34"/>
        <w:gridCol w:w="146"/>
        <w:gridCol w:w="6774"/>
        <w:gridCol w:w="146"/>
        <w:gridCol w:w="1705"/>
      </w:tblGrid>
      <w:tr>
        <w:trPr/>
        <w:tc>
          <w:tcPr>
            <w:tcW w:w="1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143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credit rating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05"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Financial assets at</w:t>
              <w:br/>
              <w:t>amortized cost</w:t>
            </w:r>
          </w:p>
        </w:tc>
      </w:tr>
      <w:tr>
        <w:trPr/>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risk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counterparty has a low risk of default and does not have any past-due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12-month ECL</w:t>
            </w:r>
          </w:p>
        </w:tc>
      </w:tr>
      <w:tr>
        <w:trPr/>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 list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Debtor frequently repays after due dates but settles the amounts in full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12-month ECL</w:t>
            </w:r>
          </w:p>
        </w:tc>
      </w:tr>
      <w:tr>
        <w:trPr/>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Doubtful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 have been significant increases in credit risk since initial recognition through information developed internally or external resources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Lifetime ECL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not credit-impaired</w:t>
            </w:r>
          </w:p>
        </w:tc>
      </w:tr>
      <w:tr>
        <w:trPr/>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 is evidence indicating the asset is credit-impaired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Lifetime ECL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credit-impaired</w:t>
            </w:r>
          </w:p>
        </w:tc>
      </w:tr>
      <w:tr>
        <w:trPr/>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 is evidence indicating that the debtor is in severe financial difficulty and the Group has no realistic prospect of recovery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is written off</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tbl>
      <w:tblPr>
        <w:tblW w:w="8170" w:type="dxa"/>
        <w:jc w:val="left"/>
        <w:tblInd w:w="0" w:type="dxa"/>
        <w:tblLayout w:type="fixed"/>
        <w:tblCellMar>
          <w:top w:w="28" w:type="dxa"/>
          <w:left w:w="28" w:type="dxa"/>
          <w:bottom w:w="28" w:type="dxa"/>
          <w:right w:w="28" w:type="dxa"/>
        </w:tblCellMar>
      </w:tblPr>
      <w:tblGrid>
        <w:gridCol w:w="2266"/>
        <w:gridCol w:w="146"/>
        <w:gridCol w:w="931"/>
        <w:gridCol w:w="146"/>
        <w:gridCol w:w="1021"/>
        <w:gridCol w:w="146"/>
        <w:gridCol w:w="1321"/>
        <w:gridCol w:w="146"/>
        <w:gridCol w:w="211"/>
        <w:gridCol w:w="571"/>
        <w:gridCol w:w="146"/>
        <w:gridCol w:w="146"/>
        <w:gridCol w:w="211"/>
        <w:gridCol w:w="57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External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Group</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12-month ECL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lifetime ECL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12-month ECL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 risk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12-month ECL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A3 to Aa2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12-month ECL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Deposits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assessed the ECL for its deposits individually based on internal credit rating which, in the opinion of the management of the Company, have no significant increase in credit risk since initial recognition. ECL is estimated based on historical observed default rates over the expected life of debtors and is adjusted for forward-looking information that is available without undue cost or effort. No12-month ECL was made as of December 31, 2024 and 2025, as the counterparties involved are considered with low risk (based on the internal credit rating) and the ECL involved is not material.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mainly represents upfront payments in connection with the Group’s licensing arrangements. The Group assessed the ECL for its accounts receivable individually based on internal credit rating which, in the opinion of management of the Company, have no significant increase in credit risk since initial recognition. ECL is estimated based on historical observable default rates over the expected life of debtors and is adjusted for forward-looking information that is available without undue cost or effort.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12-month ECL has been made as of December 31, 2024 and 2025, respectively, as the counterparties are considered to be of low risk (based on the internal credit rating) and the ECL involved is not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accounts receivable amounted to approximately $2.3 million and nil,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and cash equivalents and time deposits with original maturity over three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the Group’s bank balances and deposits are placed with international banks in the U.S. The credit risks on bank balances and deposits are limited because the counterparties are banks with high credit ratings assigned by international credit-rating agencies and are all classified as low risk by the Group by reference to available external credit rating.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the credit risks mentioned above, the Group do not have any other significant 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12-month ECL has been provided during the years ended December 31, 2023, 2024 and 2025. The management of the Company has assessed the impact and concluded the ECL involved is not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at December 31, 2025, the Group recorded net liabilities of $(3.2) million. In the management of liquidity risk, the management of the Company have reviewed the Group’s cash flow projections to ensure the Group maintains a level of cash and cash equivalents deemed adequate by the management to finance the Group’s operations and mitigate the effects of fluctuations in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details the Group’s remaining contractual maturity for its non-derivative financial liabilities and lease liabilities. The table has been drawn up based on the undiscounted cash flows of financial liabilities and lease liabilities based on the earliest date on which the Group can be required to pay. The table includes both interest and principal cash flows. To the extent that interest flows are floating rate, the undiscounted amount is derived from interest rate at the end of each reporting period.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99"/>
        <w:gridCol w:w="146"/>
        <w:gridCol w:w="220"/>
        <w:gridCol w:w="708"/>
        <w:gridCol w:w="146"/>
        <w:gridCol w:w="146"/>
        <w:gridCol w:w="146"/>
        <w:gridCol w:w="676"/>
        <w:gridCol w:w="146"/>
        <w:gridCol w:w="146"/>
        <w:gridCol w:w="191"/>
        <w:gridCol w:w="455"/>
        <w:gridCol w:w="146"/>
        <w:gridCol w:w="146"/>
        <w:gridCol w:w="156"/>
        <w:gridCol w:w="613"/>
        <w:gridCol w:w="146"/>
        <w:gridCol w:w="146"/>
        <w:gridCol w:w="146"/>
        <w:gridCol w:w="571"/>
        <w:gridCol w:w="146"/>
        <w:gridCol w:w="146"/>
        <w:gridCol w:w="146"/>
        <w:gridCol w:w="421"/>
        <w:gridCol w:w="146"/>
        <w:gridCol w:w="146"/>
        <w:gridCol w:w="186"/>
        <w:gridCol w:w="865"/>
        <w:gridCol w:w="146"/>
        <w:gridCol w:w="146"/>
        <w:gridCol w:w="146"/>
        <w:gridCol w:w="676"/>
        <w:gridCol w:w="194"/>
      </w:tblGrid>
      <w:tr>
        <w:trPr/>
        <w:tc>
          <w:tcPr>
            <w:tcW w:w="1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demand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 to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undiscounted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values measurements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of the Group’s financial assets and financial liabilities that are measured at fair value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Group’s financial assets and financial liabilities are measured at fair value at the end of each reporting period. The following table gives information about how the fair values of these financial assets and financial liabilities are determined (in particular, the valuation techniques and inputs used).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8"/>
        <w:gridCol w:w="146"/>
        <w:gridCol w:w="146"/>
        <w:gridCol w:w="421"/>
        <w:gridCol w:w="146"/>
        <w:gridCol w:w="146"/>
        <w:gridCol w:w="146"/>
        <w:gridCol w:w="421"/>
        <w:gridCol w:w="146"/>
        <w:gridCol w:w="146"/>
        <w:gridCol w:w="951"/>
        <w:gridCol w:w="146"/>
        <w:gridCol w:w="3399"/>
        <w:gridCol w:w="146"/>
        <w:gridCol w:w="1246"/>
        <w:gridCol w:w="146"/>
        <w:gridCol w:w="1309"/>
      </w:tblGrid>
      <w:tr>
        <w:trPr/>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Relationship of</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Fair value 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unobservable</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Valuation technique(s) and key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inputs to fair</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value</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u w:val="single"/>
              </w:rPr>
            </w:pPr>
            <w:r>
              <w:rPr>
                <w:rFonts w:ascii="Times New Roman" w:hAnsi="Times New Roman"/>
                <w:color w:val="000000"/>
                <w:sz w:val="19"/>
                <w:u w:val="single"/>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Public warrants and private warrants are based on the valuation of the public price of APLMW which is directly observable market (level 1) while the penny warrants are based on the underlying share price of APLM, also a directly observable market (level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N/A</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Reconciliation of Level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Details of reconciliation of Level 3 fair value measurement for the convertible Preferred Shares are set out in Note 24. All the unrealized fair value changes of $76.4 million, nil and nil for the years ended December 31, 2023, 2024 and 2025, respectively, relate to the convertible Preferred Shares were recognized in the profit or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of financial assets and financial liabilities that are not measured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management of the Company consider that the carrying amount of the Group’s financial assets and financial liabilities recorded at amortized cost in the consolidated financial statements approximate their fair values. Such fair values have been determined in accordance with generally accepted pricing models based on a discounted cash flow analysis.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29.</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RETIREMENT BENEFITS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employees employed by the PRC subsidiary are members of the state-managed retirement benefits scheme operated by the PRC government. The PRC subsidiary is required to contribute a certain percentage of their payroll to the retirement benefits schemes to fund the benefits. The only obligation of the Group with respect to the retirement benefits schemes is to make the required contributions under the scheme.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maintains multiple qualified contributory saving plans as allowed under Section 401(k) of the Internal Revenue Code in the United States. These plans are defined contribution plans covering employees employed in the United States and provide for voluntary contributions by employees, subject to certain limits. The contributions are made by both the employees and the employer. The employees’ contributions are primarily based on specified dollar amounts or percentages of employee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cost charged to profit or loss of $0.5 million, $0.3 million and $0.3 million, respectively, represents contributions paid or payable to the above schemes by the Group for the years ended December 31, 2023, 2024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end of each reporting period, there were no forfeited contributions which arose upon employees leaving the schemes prior to their interests in the Group’s contribution becoming fully vested and which are available to reduce the contributions payable by the Group in future years.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30.</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RELATED PARTY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of key management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remuneration of directors of the Company and other key management were as follows:</w:t>
      </w:r>
    </w:p>
    <w:p>
      <w:pPr>
        <w:pStyle w:val="TextBody"/>
        <w:bidi w:val="0"/>
        <w:jc w:val="left"/>
        <w:rPr/>
      </w:pPr>
      <w:r>
        <w:rPr/>
        <w:t> </w:t>
      </w:r>
    </w:p>
    <w:tbl>
      <w:tblPr>
        <w:tblW w:w="6978" w:type="dxa"/>
        <w:jc w:val="left"/>
        <w:tblInd w:w="0" w:type="dxa"/>
        <w:tblLayout w:type="fixed"/>
        <w:tblCellMar>
          <w:top w:w="28" w:type="dxa"/>
          <w:left w:w="28" w:type="dxa"/>
          <w:bottom w:w="28" w:type="dxa"/>
          <w:right w:w="28" w:type="dxa"/>
        </w:tblCellMar>
      </w:tblPr>
      <w:tblGrid>
        <w:gridCol w:w="3421"/>
        <w:gridCol w:w="146"/>
        <w:gridCol w:w="211"/>
        <w:gridCol w:w="631"/>
        <w:gridCol w:w="166"/>
        <w:gridCol w:w="146"/>
        <w:gridCol w:w="211"/>
        <w:gridCol w:w="676"/>
        <w:gridCol w:w="146"/>
        <w:gridCol w:w="146"/>
        <w:gridCol w:w="211"/>
        <w:gridCol w:w="67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benefit scheme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remuneration of key management personnel is determined by the directors of the Company having regard to the performance of individuals and market trends.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31.</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RECONCILIATION OF LIABILITIES ARISING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statements of cash flows as cash flows from financing activities.</w:t>
      </w:r>
    </w:p>
    <w:p>
      <w:pPr>
        <w:pStyle w:val="TextBody"/>
        <w:bidi w:val="0"/>
        <w:jc w:val="left"/>
        <w:rPr/>
      </w:pPr>
      <w:r>
        <w:rPr/>
        <w:t> </w:t>
      </w:r>
    </w:p>
    <w:tbl>
      <w:tblPr>
        <w:tblW w:w="7658" w:type="dxa"/>
        <w:jc w:val="left"/>
        <w:tblInd w:w="0" w:type="dxa"/>
        <w:tblLayout w:type="fixed"/>
        <w:tblCellMar>
          <w:top w:w="28" w:type="dxa"/>
          <w:left w:w="28" w:type="dxa"/>
          <w:bottom w:w="28" w:type="dxa"/>
          <w:right w:w="28" w:type="dxa"/>
        </w:tblCellMar>
      </w:tblPr>
      <w:tblGrid>
        <w:gridCol w:w="3676"/>
        <w:gridCol w:w="146"/>
        <w:gridCol w:w="211"/>
        <w:gridCol w:w="841"/>
        <w:gridCol w:w="166"/>
        <w:gridCol w:w="146"/>
        <w:gridCol w:w="228"/>
        <w:gridCol w:w="523"/>
        <w:gridCol w:w="166"/>
        <w:gridCol w:w="146"/>
        <w:gridCol w:w="146"/>
        <w:gridCol w:w="211"/>
        <w:gridCol w:w="84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w:t>
              <w:br/>
              <w:t>Preferred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w:t>
              <w:br/>
              <w:t>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Non-cash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shares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on accrued share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Non-cash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leases entered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Non-cash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32.</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MAJOR NON-CASH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years ended December 31, 2023, 2024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Group entered into new lease agreements for the use of offices and, plant and equipment for 12 months to 60 months. On the lease commencement, the Group recognized nil , $0.9 million, and nil of right-of-use asset and lease liabilities,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liabilities arising from unvested restricted shares and treasury shares of $68.0 thousand , nil, and nil, respectively, have been derecognized upon vesting of restricted shares.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33.</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RESTRICTED NET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pay dividends may depend on the Company receiving distributions of funds from its subsidiaries. The Company’s PRC subsidiaries are subject to relevant PRC statutory laws and regulations which permit payments of dividends only out of its retained earnings, if any, as determined in accordance with PRC accounting standards and regulations. The results of operations reflected in the consolidated financial statements prepared in accordance with IFRSs differ from those reflected in the statutory financial statements of the Company’s PRC subsidiaries. Foreign exchange and other regulations in the PRC further restrict the Company’s PRC subsidiaries from transferring funds to the Company in the form of dividends, loans and advances. As of December 31, 2024 and 2025, amounts restricted are the paid-in capital of the Company’s PRC subsidiaries, which amounted to $35,000.0 and $35,000.0, respectively.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33.</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LITIGATION AND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legal proceedings arising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currently engaged in litigation with Medpace, Inc. (“Medpace”), a contract research organization previously retained for certain clinical trials. The dispute arises from disagreements regarding the performance of services and amounts owed under the applicable work orders. In May 2025, Medpace initiated legal proceedings against the Company alleging breach of contract. Medpace has asserted total claimed amounts of approximately $2.3 million related to unpaid service fees under multiple work orders. Medpace has applied certain pre-funded amounts held on behalf of the Company to partially offset its claim and is seeking a net payment of approximately $0.4 million, excluding interest and costs. The Company disputes Medpace’s claims in their entirety, including the appropriateness of the offsets applied.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denied Medpace’s allegations and filed an amended counterclaim asserting that Medpace materially breached the contract. The Company’s counterclaim seeks, among other relief, declaratory judgment and compensatory damages of approximately $3.3 million, including amounts related to pre-funded expenses, deposits, pass-through costs, and alleged overcharges associated with Medpace’s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matter is currently in the discovery phase. As of December 31, 2025, the parties are engaged in the exchange of documents and information, and no trial date has been set. The timing and ultimate resolution of the matter remain uncertain and may involve continued litigation, dispositive motions, or potential settlement discussions.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IAS 37 Provisions, Contingent Liabilities and Contingent Assets</w:t>
      </w:r>
      <w:r>
        <w:rPr>
          <w:rFonts w:ascii="Times New Roman" w:hAnsi="Times New Roman"/>
          <w:color w:val="000000"/>
          <w:sz w:val="20"/>
        </w:rPr>
        <w:t>, a provision is only recognized when an outflow of economic resources is probable and can be reliably estimated. In assessing this matter, management has considered the disputed nature of the claims and counterclaims, the Company’s defenses, the status of the proceedings, and the inherent uncertainties associated with litigation, including the resolution of factual and legal issues and the appropriateness of amounts claimed and offsets asserted. Based on this assessment as of December 31, 2025, management has concluded that an outflow of resources is not considered probable. In addition, due to the significant uncertainties described above, the Company is unable to reliably estimate the potential loss or range of loss, if any. Accordingly, no provision has been recognized in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not recognized any asset in respect of its counterclaim, as any potential recovery is not considered virtually certain. An unfavorable outcome in this matter, including a requirement to pay amounts claimed by Medpace or an inability to recover amounts sought in the counterclaim, could adversely affect the Company’s financial condition and results of operations.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SUBSEQUENT EVENTS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30, 2026, the Company entered into a Convertible Promissory Note with Mr. Hung-Wen (Howard) Chen, the Company’s Chairman and Chief Executive Officer. Pursuant to the note, Mr. Chen provided an unsecured bridge loan to the Company in the principal amount of $2.0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 except for share and per share data)</w:t>
      </w:r>
    </w:p>
    <w:p>
      <w:pPr>
        <w:pStyle w:val="TextBody"/>
        <w:bidi w:val="0"/>
        <w:jc w:val="center"/>
        <w:rPr/>
      </w:pPr>
      <w:r>
        <w:rPr/>
        <w:t> </w:t>
      </w:r>
    </w:p>
    <w:p>
      <w:pPr>
        <w:pStyle w:val="TextBody"/>
        <w:bidi w:val="0"/>
        <w:spacing w:before="240" w:after="283"/>
        <w:jc w:val="left"/>
        <w:rPr>
          <w:rFonts w:ascii="Times New Roman" w:hAnsi="Times New Roman"/>
          <w:color w:val="000000"/>
          <w:sz w:val="20"/>
        </w:rPr>
      </w:pPr>
      <w:bookmarkStart w:id="48" w:name="notes_to_consolidated_end"/>
      <w:bookmarkEnd w:id="48"/>
      <w:r>
        <w:rPr>
          <w:rFonts w:ascii="Times New Roman" w:hAnsi="Times New Roman"/>
          <w:color w:val="000000"/>
          <w:sz w:val="20"/>
        </w:rPr>
        <w:t>The Company has evaluated subsequent events through the filing of this annual report on Form 20-F, and determined that no events have occurred that would require adjustments to our disclosures in the consolidated financial statements, except as disclosed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9" w:name="schedulei_additional_financial_inform2"/>
      <w:bookmarkEnd w:id="49"/>
      <w:r>
        <w:rPr>
          <w:rFonts w:ascii="Times New Roman" w:hAnsi="Times New Roman"/>
          <w:b/>
          <w:color w:val="000000"/>
          <w:sz w:val="20"/>
        </w:rPr>
        <w:t>Schedule I - Additional financial information of parent company</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Financial Position</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w:t>
      </w:r>
    </w:p>
    <w:p>
      <w:pPr>
        <w:pStyle w:val="TextBody"/>
        <w:bidi w:val="0"/>
        <w:jc w:val="left"/>
        <w:rPr/>
      </w:pPr>
      <w:r>
        <w:rPr/>
        <w:t> </w:t>
      </w:r>
    </w:p>
    <w:tbl>
      <w:tblPr>
        <w:tblW w:w="6934" w:type="dxa"/>
        <w:jc w:val="left"/>
        <w:tblInd w:w="0" w:type="dxa"/>
        <w:tblLayout w:type="fixed"/>
        <w:tblCellMar>
          <w:top w:w="28" w:type="dxa"/>
          <w:left w:w="28" w:type="dxa"/>
          <w:bottom w:w="28" w:type="dxa"/>
          <w:right w:w="28" w:type="dxa"/>
        </w:tblCellMar>
      </w:tblPr>
      <w:tblGrid>
        <w:gridCol w:w="3981"/>
        <w:gridCol w:w="146"/>
        <w:gridCol w:w="211"/>
        <w:gridCol w:w="841"/>
        <w:gridCol w:w="166"/>
        <w:gridCol w:w="146"/>
        <w:gridCol w:w="211"/>
        <w:gridCol w:w="841"/>
        <w:gridCol w:w="391"/>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 due from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prepayments and deferred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payables and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 less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Deficit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0" w:name="schedule_i_additional_financial_inform"/>
      <w:bookmarkEnd w:id="50"/>
      <w:r>
        <w:rPr>
          <w:rFonts w:ascii="Times New Roman" w:hAnsi="Times New Roman"/>
          <w:b/>
          <w:color w:val="000000"/>
          <w:sz w:val="20"/>
        </w:rPr>
        <w:t>Schedule I - Additional financial information of parent company</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 of Loss and Other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w:t>
      </w:r>
    </w:p>
    <w:p>
      <w:pPr>
        <w:pStyle w:val="TextBody"/>
        <w:bidi w:val="0"/>
        <w:jc w:val="left"/>
        <w:rPr/>
      </w:pPr>
      <w:r>
        <w:rPr/>
        <w:t> </w:t>
      </w:r>
    </w:p>
    <w:tbl>
      <w:tblPr>
        <w:tblW w:w="9643" w:type="dxa"/>
        <w:jc w:val="left"/>
        <w:tblInd w:w="0" w:type="dxa"/>
        <w:tblLayout w:type="fixed"/>
        <w:tblCellMar>
          <w:top w:w="28" w:type="dxa"/>
          <w:left w:w="28" w:type="dxa"/>
          <w:bottom w:w="28" w:type="dxa"/>
          <w:right w:w="28" w:type="dxa"/>
        </w:tblCellMar>
      </w:tblPr>
      <w:tblGrid>
        <w:gridCol w:w="5716"/>
        <w:gridCol w:w="146"/>
        <w:gridCol w:w="211"/>
        <w:gridCol w:w="736"/>
        <w:gridCol w:w="166"/>
        <w:gridCol w:w="146"/>
        <w:gridCol w:w="211"/>
        <w:gridCol w:w="736"/>
        <w:gridCol w:w="166"/>
        <w:gridCol w:w="146"/>
        <w:gridCol w:w="211"/>
        <w:gridCol w:w="841"/>
        <w:gridCol w:w="21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financial assets at FVTPL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financial liabilities at FVTPL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of convertible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loss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and total comprehensive loss for the year, attributable to owners</w:t>
              <w:br/>
              <w:t>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I - Additional financial information of parent company</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of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78"/>
        <w:gridCol w:w="146"/>
        <w:gridCol w:w="211"/>
        <w:gridCol w:w="736"/>
        <w:gridCol w:w="166"/>
        <w:gridCol w:w="146"/>
        <w:gridCol w:w="211"/>
        <w:gridCol w:w="736"/>
        <w:gridCol w:w="166"/>
        <w:gridCol w:w="146"/>
        <w:gridCol w:w="211"/>
        <w:gridCol w:w="841"/>
        <w:gridCol w:w="411"/>
      </w:tblGrid>
      <w:tr>
        <w:trPr/>
        <w:tc>
          <w:tcPr>
            <w:tcW w:w="6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of loss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of an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change of financial assets at FVTPL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change of financial liabilities at FVTPL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change of convertible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IFRS 2 listing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Portion of PIPE issuance costs allocated to PIPE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foreign currency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payment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adjustments to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before movements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deposits, prepayments and deferred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other payables and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to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from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financial asset at FVTPL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PIPE Financing,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issue of shares upon exercise of share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FROM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51" w:name="schedule_i_end"/>
      <w:bookmarkEnd w:id="51"/>
      <w:r>
        <w:rPr>
          <w:rFonts w:ascii="Times New Roman" w:hAnsi="Times New Roman"/>
          <w:b/>
          <w:color w:val="000000"/>
          <w:sz w:val="20"/>
        </w:rPr>
        <w:t>Schedule I - Additional financial information of parent company</w:t>
      </w:r>
    </w:p>
    <w:p>
      <w:pPr>
        <w:pStyle w:val="TextBody"/>
        <w:bidi w:val="0"/>
        <w:jc w:val="center"/>
        <w:rPr>
          <w:rFonts w:ascii="Times New Roman" w:hAnsi="Times New Roman"/>
          <w:b/>
          <w:color w:val="000000"/>
          <w:sz w:val="20"/>
        </w:rPr>
      </w:pPr>
      <w:r>
        <w:rPr>
          <w:rFonts w:ascii="Times New Roman" w:hAnsi="Times New Roman"/>
          <w:b/>
          <w:color w:val="000000"/>
          <w:sz w:val="20"/>
        </w:rPr>
        <w:t>APOLLOMICS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Notes to the condensed Financial Information of Parent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Schedule I has been provided pursuant to the requirements of Rule12-04(a)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The condensed financial information has been prepared using the same accounting policies as set out in the consolidated financial statements except that the equity method has been used to account for investments in its subsidiaries. For the purpose of this Schedule I, Apollomics Inc., as the parent company, records its investments in subsidiaries under the equity method of accounting in accordance with International Accounting Standards 27 </w:t>
      </w:r>
      <w:r>
        <w:rPr>
          <w:rFonts w:ascii="Times New Roman" w:hAnsi="Times New Roman"/>
          <w:i/>
          <w:color w:val="000000"/>
          <w:sz w:val="20"/>
        </w:rPr>
        <w:t>Separate Financial Statements</w:t>
      </w:r>
      <w:r>
        <w:rPr>
          <w:rFonts w:ascii="Times New Roman" w:hAnsi="Times New Roman"/>
          <w:color w:val="000000"/>
          <w:sz w:val="20"/>
        </w:rPr>
        <w:t>, as issued by the International Accounting Standards Board. Such investments are presented on the Condensed Statements of Financial Position as “Investment in subsidiaries”. Ordinarily under the equity, an investor in an equity method investee would cease to recognize its share of the losses of an investee once the carrying value of the investment has been reduce to nil absent an undertaking by the investor to provide continuing support and fund losses. For the purpose of this Schedule I, the parent company has continued to reflect its share, based on its proportionate interest, of the losses of subsidiaries in investment in subsidiaries regardless of the carrying value of the investment in subsidiaries even though the parent company is not obligated to provide continuing support or fund losses. The excess amount is recorded as “Deficit in subsidiaries” on the Condensed Statements of Financial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Certain information and footnote disclosures normally included in financial statements prepared in accordance with IFRS have been condensed or omitted. The footnote disclosures provide certain supplemental information relating to the operations of the Company and, as such, these statements should be read in conjunction with the notes to the accompanying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As of December 31, 2024 and 2025, there were no material contingencies, significant provisions of long-term obligations, mandatory dividend or guarantees of Apollomics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bkmk_503"/>
      <w:bookmarkStart w:id="53" w:name="bkmk_496"/>
      <w:bookmarkStart w:id="54" w:name="bkmk_505"/>
      <w:bookmarkStart w:id="55" w:name="bkmk_501"/>
      <w:bookmarkStart w:id="56" w:name="bkmk_507"/>
      <w:bookmarkStart w:id="57" w:name="bkmk_504"/>
      <w:bookmarkStart w:id="58" w:name="bkmk_499"/>
      <w:bookmarkStart w:id="59" w:name="bkmk_502"/>
      <w:bookmarkStart w:id="60" w:name="bkmk_498"/>
      <w:bookmarkStart w:id="61" w:name="bkmk_495"/>
      <w:bookmarkStart w:id="62" w:name="bkmk_497"/>
      <w:bookmarkStart w:id="63" w:name="bkmk_500"/>
      <w:bookmarkStart w:id="64" w:name="bkmk_506"/>
      <w:bookmarkStart w:id="65" w:name="aplm-ex2_1.htm"/>
      <w:bookmarkStart w:id="66" w:name="ksaplmex2_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rFonts w:ascii="Times New Roman" w:hAnsi="Times New Roman"/>
          <w:b/>
          <w:color w:val="000000"/>
          <w:sz w:val="20"/>
        </w:rPr>
        <w:t>Exhibit 2.1</w:t>
      </w:r>
      <w:r>
        <w:br w:type="page"/>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DESCRIPTION OF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section summarizes the material rights of the shareholders of Apollomics Inc. (“Apollomics” or the “Company”). Except where the context otherwise requires or where otherwise indicated herein, the terms “we,” “us,” “our,” “our company” and “our business” refers to the Company. Capitalized terms that are not defined herein shall have the meanings ascribed to them in our Annual Report on Form 20-F for the year ended December 31, 2025. Because the following is only a summary, it does not contain all of the information that may be important to you. The following summary does not purport to be complete and is qualified in its entirety by reference to applicable Cayman Islands law and our sixth amended and restated memorandum and articles of association (the “Articles”), and the resolutions approved by shareholders on November 14, 2024 (the “Resolutions”), which have been publicly filed with the U.S. Securities and Exchange Commission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exempted company incorporated in the Cayman Islands with limited liability and our affairs are governed by our articles, the Cayman Islands Companies Act (the “Companies Act”) and the common law of the Cayman Islands.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Articles and the Resolutions, the authorized share capital of Apollomics is 100,000,000 Class A ordinary shares, par value $0.01 per share (“Apollomics Class A Ordinary Shares”), and 20,000,000 Class B ordinary shares, par value $0.01 per share (“Apollomics Class B Ordinary Shares” and, together with the Apollomics Class A Ordinary Shares, the “Apollomics Ordinary Shares”), and 10,000,000 preference shares, par value $0.01 per share. All of our outstanding shares are validly issued, fully paid and non-assessable.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of Apollomics (the “Board”) may determine the issue prices and terms for our shares or other securities, and may further determine any other provision relating to such issue of shares or securities. We may also issue and redeem redeemable securities on such terms and in such manner as the Board shall determine.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description of the material terms of the Apollomics Ordinary Shares and the Articles. The following descriptions are qualified by reference to the Articles in effect as of the date of the Company’s Annual Report on Form 20-F (the “Annual Report”) of which this Exhibit 2.1 forms a part.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Apollomics 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Apollomics Class A Ordinary Share has all the rights, powers and privileges provided for in the Articles.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Apollomics Class B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Apollomics Class B Ordinary Shares are identical to the Apollomics Class A Ordinary Shares, provided, that the Apollomics Class B Ordinary Shares are subject to a lock-up whereby such shareholders are prohibited from transferring such shares for a period of six months after the closing of our Business Combination (as defined in the Annual Report), on the terms and conditions identical to those set forth in that certain Lock-Up Agreement, dated as of September 14, 2022, by and among the Company, MP One Investment LLC and the individuals party thereto (the “Lock-Up Agreement”).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registered holder of Apollomics Ordinary Shares is entitled to one vote for each Apollomics Ordinary Share of which he, she or it is the registered holder, subject to any rights and restrictions for the time being attached to any share. Unless specified in the Articles, or as required by applicable provisions of the Cayman Companies Law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Articles, reducing our share capital, registration of our company by way of continuation in a jurisdiction outside the Cayman Islands and merger or consolidation with one or more other constituent companies, requires a special resolution under Cayman Islands law and pursuant to the Articles,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paid any cash dividends on our ordinary shares to date. The payment of cash dividends in the future will be dependent upon our revenues and earnings, if any, capital requirements and general financial condition. Subject to the foregoing, the payment of cash dividends in the future, if any, will be at the discretion of the Board.</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Liquidation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winding-up or other return of capital, subject to any special rights attaching to any other class of shares, holders of Apollomics Ordinary Shares are entitled to participate in any surplus assets in proportion to the capital paid up, or which ought to have been paid up, at the commencement of the winding up or the date of the return of capital, as the case may be, on the Apollomics Ordinary Shares held by them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shareholders are entitled to certain registration rights under the terms of that certain Registration Rights Agreement by and among the Company, Maxpro Capital Acquisition Corp., MP One Investment LLC and Continental Stock Transfer &amp; Trust Company (the “Registration Rights Agreement”). For more information on the Registration Rights Agreement, please see Exhibit 4.16 to the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PIPE Investors who purchased PIPE Class B Shares pursuant to the Subscription Agreements are entitled to certain registration rights for the Apollomics Class A Ordinary Shares into which the PIPE Class B Shares are convertible under the terms of the Subscription Agreements. PIPE Investors who received Penny Warrants are also entitled to certain registration rights for the Apollomics Class A Ordinary Shares issuable upon exercise of the Penny Warrants under the terms of the Penny Warrant Agreement. For more information on the Subscription Agreements, please see Exhibit 4.18 to the Annual Report.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Shareholder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or more shareholders holding at least a majority of the paid up voting share capital of our company present in person or by proxy or if a corporation or other non-natural person by its duly authorized representative or proxy and entitled to vote at that meeting shall form a quorum. In accordance with the Nasdaq corporate governance requirements, we are not required to hold an annual general meeting until one year after our first fiscal year end following our listing on Nasdaq. There is no requirement under the Companies Act for us to hold annual or extraordinary general meetings.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Warrant Assumption Agreement, included as Exhibit 4.15 to the Annual Report, Maxpro Capital Acquisition Corp., a Delaware corporation (“Maxpro”), assigned to us all of Maxpro’s right, title and interest in and to the Warrant Agreement (filed as Exhibit 4.14 to the Annual Report), with any amendments thereto, if any, in relation to the Public Warrants and we have assumed, and have agreed to pay, perform, satisfy and discharge in full, all of Maxpro’s liabilities and obligations in respect of the Public Warrants under the Warrant Agreement, with any amendments thereto, if any, in relation to the Public Warrants arising from and after the closing of our Business Combination. Each outstanding Maxpro Warrant became a warrant to purchase Apollomics Class A Ordinary Shares (the “Apollomics Warrants”), with each such warrant exercisable for the number of Apollomics Class A Ordinary Shares the holder of such Maxpro Warrant would have received in the Business Combination if it exercised such Maxpro Warrant immediately prior to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Apollomics Warrants are governed by the Warrant Agreement, as modified and amended by the Warrant Assumption Agreement. Only whole Apollomics Warrants may be exercised at a given time by warrant holders. Each Apollomics Warrant entitles the registered holder to purchase one Apollomics Class A Ordinary Share at a price of $11.50 per 0.01 share, subject to adjustment as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Apollomics Warrants expire five years after the completion of the Business Combination, at 5:00 p.m., New York City time, or earlier upon redemption or liquidation.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not be obligated to deliver any Apollomics Class A Ordinary Shares pursuant to the exercise of a warrant and will have no obligation to settle such warrant exercise unless a registration statement under the Securities Act with respect to the Apollomics Class A Ordinary Shares underlying the warrants is then effective and a prospectus relating thereto is current, subject to us satisfying our obligations described below with respect to registration. No warrant will be exercisable and we will not be obligated to issue Apollomics Class A Ordinary Shares upon exercise of a warrant unless Apollomics Class A Ordinary Shares issuable upon such warrant exercise have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registration statement covering the Apollomics Class A Ordinary Shares issuable upon exercise of the warrants is not effective by the 60th business day after the closing of the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Apollomics Class A Ordinary Shares issuable upon exercise of the warrants is not effective within a specified period following the consummation of the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the warrants become exercisable, we may call the warrants for redemption: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 price of $0.01, per warrant;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not less than 30 days’ prior written notice of redemption given after the warrants become exercisable (the “30-day redemption period”) to each warrant holder;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only if, the reported last sale price of the Apollomics Class A Ordinary Shares equals or exceeds $1,800 per share (as adjusted for share splits, share dividends, right issuances, reorganizations, recapitalizations and the like) for any 20 trading days within a 30-trading day period commencing once the warrants become exercisable and ending three business days before we send the notice of redemption to the warrant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and when the warrants become redeemable by us, we may not exercise our redemption right if the issuance of shares of Apollomics Class A Ordinary Shares upon exercise of the warrants is not exempt from registration or qualification under applicable state blue sky laws or we are unable to effect such registration or qualification. We will use our best efforts to register or qualify such Apollomics Class A Ordinary Shares under the blue sky laws of the state of residence in those states in which the warrants were offered by Maxpro in their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Apollomics Class A Ordinary Shares may fall below the $1,800 redemption trigger price (as adjusted for share splits, share dividends, reorganizations, recapitalizations and the like) as well as the $11.50 warrant exercise price per 0.01 share after the redemption notice is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Apollomics Class A Ordinary Shares issuable upon the exercise of our warrants. If our management takes advantage of this option, all holders of warrants would pay the exercise price by surrendering their warrants for that number of Apollomics Class A Ordinary Shares equal to the quotient obtained by dividing (x) the product of the number of Apollomics Class A Ordinary Shares underlying the warrants, multiplied by the difference between the exercise price of the warrants and the “fair market value” (defined below) by (y) the fair market value. The “fair market value” for this purpose shall mean the average reported last sale price of the Apollomics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Apollomics Class A Ordinary Shares to be received upon exercise of the warrants, including the “fair market value” in such case. Requiring a cashless exercise in this manner will reduce the number of shares to be issued and thereby lessen the dilutive effect of a warrant redemption.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Apollomics Class A Ordinary Shares outstanding immediately after giving effect to such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number of outstanding Apollomics Class A Ordinary Shares is increased by a share dividend payable in Apollomics Class A Ordinary Shares, or by a split-up of Apollomics Class A Ordinary Shares or other similar event, then, on the effective date of such share dividend, split-up or similar event, the number of Apollomics Class A Ordinary Shares issuable on exercise of each whole warrant will be increased in proportion to such increase in the outstanding Apollomics Class A Ordinary Shares. A rights offering to holders of Apollomics Class A Ordinary Shares entitling holders to purchase Apollomics Class A Ordinary Shares at a price less than the fair market value will be deemed a share dividend of a number of Apollomics Class A Ordinary Shares equal to the product of (i) the number of Apollomics Class A Ordinary Shares actually sold in such rights offering (or issuable under any other equity securities sold in such rights offering that are convertible into or exercisable for Apollomics Class A Ordinary Shares) and (ii) one (1) minus the quotient of (x) the price per Apollomics Class A Ordinary Share paid in such rights offering divided by (y) the fair market value. For these purposes (i) if the rights offering is for securities convertible into or exercisable for Apollomics Class A Ordinary Shares, in determining the price payable for Apollomics Class A Ordinary Shares, there will be taken into account any consideration received for such rights, as well as any additional amount payable upon exercise or conversion and (ii) fair market value means the volume weighted average price of Apollomics Class A Ordinary Shares as reported during the ten (10) trading day period ending on the trading day prior to the first date on which the Apollomics Class A Ordinary Shares trade on the applicable exchange or in the applicable market, regular way, without the right to receive such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at any time while the warrants are outstanding and unexpired, pay a dividend or make a distribution in cash, securities or other assets to the holders of Apollomics Class A Ordinary Shares on account of such Apollomics Class A Ordinary Shares (or other authorized shares of us into which the warrants are convertible), other than as described above or certain ordinary cash dividends, then the warrant exercise price will be decreased, effective immediately after the effective date of such event, by the amount of cash and/or the fair market value of any securities or other assets paid on each Apollomics Class A Ordinary Share in respect of such event.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number of outstanding Apollomics Class A Ordinary Shares is decreased by a consolidation, combination, reverse share split or reclassification of Apollomics Class A Ordinary Shares or other similar event, then, on the effective date of such consolidation, combination,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reverse share split, reclassification or similar event, the number of Apollomics Class A Ordinary Shares issuable on exercise of each warrant will be decreased in proportion to such decrease in outstanding Apollomics Class A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Whenever the number of Apollomics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Apollomics Class A Ordinary Shares purchasable upon the exercise of the warrants immediately prior to such adjustment, and (y) the denominator of which will be the number of Apollomics Class A Ordinary Shares so purchasable immediately thereafter.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case of any reclassification or reorganization of the outstanding Apollomics Class A Ordinary Shares (other than those described above or that solely affects the par value of such Apollomics Class A Ordinary Shares), or in the case of any merger or consolidation of us with or into another corporation (other than a consolidation or merger in which we are the continuing corporation and that does not result in any reclassification or reorganization of our outstanding Apollomics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Apollomics Class A Ordinary Shares immediately theretofore purchasable and receivable upon the exercise of the rights represented thereby, the kind and amount of authorized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warrants were issued in registered form under the Warrant Agreement between Continental Stock Transfer &amp; Trust Company, as warrant agent, and us. The Warrant Agreement provides that the terms of the warrants may be amended without the consent of any holder to cure any ambiguity or correct any mistake or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Apollomics Class A Ordinary Shares and any voting rights until they exercise their warrants and receive Apollomics Class A Ordinary Shares. After the issuance of Apollomics Class A Ordinary Shares upon exercise of the warrants, each holder will be entitled to one (1) vote for each share held of record on all matters to be voted on by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fractional shares will be issued upon exercise of the warrants. If, upon exercise of the warrants, a holder would be entitled to receive a fractional interest in a share, we will, upon exercise, round down to the nearest whole number of Apollomics Class A Ordinary Shares to be issued to the warrant holder.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Penny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Penny Warrant Agreements, Apollomics has issued to certain PIPE Investors 57,500 warrants to acquire an aggregate of 575 Apollomics Class A Ordinary Shares, each with an exercise price of $0.01 per 0.01 share (the “Penny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Penny Warrants are exercisable commencing six months after the closing of the Business Combination and expire five years following the closing of the Business Combination after which time the Penny Warrants shall automatically be cashlessly exercised, as described in the Penny Warrant Agreements. The Penny Warrant Agreements provide for certain registration rights with respect to the resale of Apollomics Class A Ordinary Shares issuable upon exercise of the Penny Warrants, which are substantially similar to the registration rights provided under the Subscription Agreements. Our Penny Warrants are not listed on Nasdaq.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Apollomics Private Warrants have terms and provisions that are identical to those of the public warrants, including as to exercise price, exercisability, redemption, and exercise period. Our Private Warrants are not listed on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holders of Apollomics Warrants are entitled to certain registration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Exclusive Forum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Articles provide that unless we consent in writing to the selection of an alternative forum, the federal district courts of the United States of America shall be the exclusive forum for the resolution of any complaint asserting a cause of action arising under the Securities Act of 1933, as amended (the “Securities Act”). Our Articles also provide that unless we consent in writing to the selection of an alternative forum, the competent courts in the Cayman Islands shall be the exclusive forum for any derivative action or proceeding brought on behalf of us, any action asserting a breach of a fiduciary duty owed by any of our current or former directors, officers or our other employees or our shareholders or any action asserting a claim arising pursuant to any provision of the Companies Act and/or the Articles or any action asserting a claim against the Company which, if brought in the United States of America, would be a claim arising under the “Internal Affairs Doctrine” (as such concept is recognized under the laws of the United States of America).</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Transfer Agent and Registrar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transfer agent and registrar is Continental Stock Transfer &amp; Trust Company. Its address is 1 State Street, 30th Floor, New York, New York 10004, and its telephone number is 212-509-4000.</w:t>
      </w:r>
    </w:p>
    <w:p>
      <w:pPr>
        <w:pStyle w:val="TextBody"/>
        <w:bidi w:val="0"/>
        <w:jc w:val="left"/>
        <w:rPr>
          <w:rFonts w:ascii="Times New Roman" w:hAnsi="Times New Roman"/>
          <w:color w:val="000000"/>
          <w:sz w:val="20"/>
        </w:rPr>
      </w:pPr>
      <w:r>
        <w:rPr>
          <w:rFonts w:ascii="Times New Roman" w:hAnsi="Times New Roman"/>
          <w:color w:val="000000"/>
          <w:sz w:val="20"/>
        </w:rPr>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7" w:name="aplm-ex12_1.htm"/>
      <w:bookmarkStart w:id="68" w:name="ksaplmex12_1"/>
      <w:bookmarkEnd w:id="67"/>
      <w:bookmarkEnd w:id="68"/>
      <w:r>
        <w:rPr>
          <w:rFonts w:ascii="Times New Roman" w:hAnsi="Times New Roman"/>
          <w:b/>
          <w:color w:val="000000"/>
          <w:sz w:val="20"/>
        </w:rPr>
        <w:t>Exhibit 12.1</w:t>
      </w:r>
      <w:r>
        <w:br w:type="page"/>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CERTIFICATION OF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Hung-Wen (Howard) Chen,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20-F of Apollomics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company’s internal control over financial reporting.</w:t>
      </w:r>
    </w:p>
    <w:p>
      <w:pPr>
        <w:pStyle w:val="TextBody"/>
        <w:bidi w:val="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Hung-Wen (Howard) Chen</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Hung-Wen (Howard) Chen</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24, 2026</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9" w:name="aplm-ex12_2.htm"/>
      <w:bookmarkStart w:id="70" w:name="ksaplmex12_2"/>
      <w:bookmarkEnd w:id="69"/>
      <w:bookmarkEnd w:id="70"/>
      <w:r>
        <w:rPr>
          <w:rFonts w:ascii="Times New Roman" w:hAnsi="Times New Roman"/>
          <w:b/>
          <w:color w:val="000000"/>
          <w:sz w:val="20"/>
        </w:rPr>
        <w:t>Exhibit 12.2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Lin,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20-F of Apollomics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company’s internal control over financial reporting.</w:t>
      </w:r>
    </w:p>
    <w:p>
      <w:pPr>
        <w:pStyle w:val="TextBody"/>
        <w:bidi w:val="0"/>
        <w:jc w:val="left"/>
        <w:rPr/>
      </w:pPr>
      <w:r>
        <w:rPr/>
        <w:t> </w:t>
      </w:r>
    </w:p>
    <w:p>
      <w:pPr>
        <w:pStyle w:val="TextBody"/>
        <w:bidi w:val="0"/>
        <w:jc w:val="left"/>
        <w:rPr/>
      </w:pPr>
      <w:r>
        <w:rPr/>
        <w:t> </w:t>
      </w:r>
    </w:p>
    <w:tbl>
      <w:tblPr>
        <w:tblW w:w="7066" w:type="dxa"/>
        <w:jc w:val="left"/>
        <w:tblInd w:w="0" w:type="dxa"/>
        <w:tblLayout w:type="fixed"/>
        <w:tblCellMar>
          <w:top w:w="28" w:type="dxa"/>
          <w:left w:w="28" w:type="dxa"/>
          <w:bottom w:w="28" w:type="dxa"/>
          <w:right w:w="28" w:type="dxa"/>
        </w:tblCellMar>
      </w:tblPr>
      <w:tblGrid>
        <w:gridCol w:w="7066"/>
      </w:tblGrid>
      <w:tr>
        <w:trPr/>
        <w:tc>
          <w:tcPr>
            <w:tcW w:w="7066" w:type="dxa"/>
            <w:tcBorders/>
            <w:vAlign w:val="center"/>
          </w:tcPr>
          <w:p>
            <w:pPr>
              <w:pStyle w:val="TableContents"/>
              <w:bidi w:val="0"/>
              <w:spacing w:before="0" w:after="283"/>
              <w:jc w:val="left"/>
              <w:rPr>
                <w:sz w:val="4"/>
                <w:szCs w:val="4"/>
              </w:rPr>
            </w:pPr>
            <w:r>
              <w:rPr>
                <w:sz w:val="4"/>
                <w:szCs w:val="4"/>
              </w:rPr>
            </w:r>
          </w:p>
        </w:tc>
      </w:tr>
      <w:tr>
        <w:trPr/>
        <w:tc>
          <w:tcPr>
            <w:tcW w:w="7066"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20"/>
              </w:rPr>
            </w:pPr>
            <w:r>
              <w:rPr>
                <w:rFonts w:ascii="Times New Roman" w:hAnsi="Times New Roman"/>
                <w:color w:val="000000"/>
                <w:sz w:val="20"/>
              </w:rPr>
              <w:t>/s/ Peter Lin</w:t>
            </w:r>
          </w:p>
        </w:tc>
      </w:tr>
      <w:tr>
        <w:trPr/>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Lin</w:t>
            </w:r>
          </w:p>
        </w:tc>
      </w:tr>
      <w:tr>
        <w:trPr/>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 Principal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24,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1" w:name="aplm-ex13_1.htm"/>
      <w:bookmarkStart w:id="72" w:name="ksaplmex13_1"/>
      <w:bookmarkEnd w:id="71"/>
      <w:bookmarkEnd w:id="72"/>
      <w:r>
        <w:rPr>
          <w:rFonts w:ascii="Times New Roman" w:hAnsi="Times New Roman"/>
          <w:b/>
          <w:color w:val="000000"/>
          <w:sz w:val="20"/>
        </w:rPr>
        <w:t>Exhibit 13.1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this annual report on Form 20-F of Apollomics Inc. (the “Company”) for the twelve months ended December 31, 2024 as filed with the Securities and Exchange Commission on the date hereof (the “Report”), I, Hung-Wen (Howard) Chen, Chief Executive Officer of the Company, hereby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20"/>
              </w:rPr>
            </w:pPr>
            <w:r>
              <w:rPr>
                <w:rFonts w:ascii="Times New Roman" w:hAnsi="Times New Roman"/>
                <w:color w:val="000000"/>
                <w:sz w:val="20"/>
              </w:rPr>
              <w:t>/s/ Hung-Wen (Howard) Chen</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Hung-Wen (Howard) Chen</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24,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3" w:name="aplm-ex13_2.htm"/>
      <w:bookmarkStart w:id="74" w:name="ksaplmex13_2"/>
      <w:bookmarkEnd w:id="73"/>
      <w:bookmarkEnd w:id="74"/>
      <w:r>
        <w:rPr>
          <w:rFonts w:ascii="Times New Roman" w:hAnsi="Times New Roman"/>
          <w:b/>
          <w:color w:val="000000"/>
          <w:sz w:val="20"/>
        </w:rPr>
        <w:t>Exhibit 13.2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this annual report on Form 20-F of Apollomics Inc. (the “Company”) for the twelve months ended December 31, 2024 as filed with the Securities and Exchange Commission on the date hereof (the “Report”), I, Peter Lin, Principal Financial Officer of the Company, hereby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7066" w:type="dxa"/>
        <w:jc w:val="left"/>
        <w:tblInd w:w="0" w:type="dxa"/>
        <w:tblLayout w:type="fixed"/>
        <w:tblCellMar>
          <w:top w:w="28" w:type="dxa"/>
          <w:left w:w="28" w:type="dxa"/>
          <w:bottom w:w="28" w:type="dxa"/>
          <w:right w:w="28" w:type="dxa"/>
        </w:tblCellMar>
      </w:tblPr>
      <w:tblGrid>
        <w:gridCol w:w="7066"/>
      </w:tblGrid>
      <w:tr>
        <w:trPr/>
        <w:tc>
          <w:tcPr>
            <w:tcW w:w="7066" w:type="dxa"/>
            <w:tcBorders/>
            <w:vAlign w:val="center"/>
          </w:tcPr>
          <w:p>
            <w:pPr>
              <w:pStyle w:val="TableContents"/>
              <w:bidi w:val="0"/>
              <w:spacing w:before="0" w:after="283"/>
              <w:jc w:val="left"/>
              <w:rPr>
                <w:sz w:val="4"/>
                <w:szCs w:val="4"/>
              </w:rPr>
            </w:pPr>
            <w:r>
              <w:rPr>
                <w:sz w:val="4"/>
                <w:szCs w:val="4"/>
              </w:rPr>
            </w:r>
          </w:p>
        </w:tc>
      </w:tr>
      <w:tr>
        <w:trPr/>
        <w:tc>
          <w:tcPr>
            <w:tcW w:w="7066"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20"/>
              </w:rPr>
            </w:pPr>
            <w:r>
              <w:rPr>
                <w:rFonts w:ascii="Times New Roman" w:hAnsi="Times New Roman"/>
                <w:color w:val="000000"/>
                <w:sz w:val="20"/>
              </w:rPr>
              <w:t>/s/ Peter Lin</w:t>
            </w:r>
          </w:p>
        </w:tc>
      </w:tr>
      <w:tr>
        <w:trPr/>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Lin</w:t>
            </w:r>
          </w:p>
        </w:tc>
      </w:tr>
      <w:tr>
        <w:trPr/>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 Principal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24, 2026</w:t>
      </w:r>
    </w:p>
    <w:p>
      <w:pPr>
        <w:pStyle w:val="HorizontalLine"/>
        <w:pBdr>
          <w:bottom w:val="double" w:sz="2" w:space="0" w:color="808080"/>
        </w:pBdr>
        <w:bidi w:val="0"/>
        <w:spacing w:before="0" w:after="283"/>
        <w:jc w:val="left"/>
        <w:rPr/>
      </w:pPr>
      <w:r>
        <w:rPr/>
      </w:r>
    </w:p>
    <w:p>
      <w:pPr>
        <w:pStyle w:val="TextBody"/>
        <w:bidi w:val="0"/>
        <w:jc w:val="center"/>
        <w:rPr/>
      </w:pPr>
      <w:bookmarkStart w:id="75" w:name="aplm-ex15_1.htm"/>
      <w:bookmarkStart w:id="76" w:name="ksaplmex15_1"/>
      <w:bookmarkEnd w:id="75"/>
      <w:bookmarkEnd w:id="76"/>
      <w:r>
        <w:rPr/>
        <w:drawing>
          <wp:inline distT="0" distB="0" distL="0" distR="0">
            <wp:extent cx="1552575" cy="295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2"/>
                    <a:stretch>
                      <a:fillRect/>
                    </a:stretch>
                  </pic:blipFill>
                  <pic:spPr bwMode="auto">
                    <a:xfrm>
                      <a:off x="0" y="0"/>
                      <a:ext cx="1552575" cy="295275"/>
                    </a:xfrm>
                    <a:prstGeom prst="rect">
                      <a:avLst/>
                    </a:prstGeom>
                  </pic:spPr>
                </pic:pic>
              </a:graphicData>
            </a:graphic>
          </wp:inline>
        </w:drawing>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15.1</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 have issued our report dated April 3, 2025, with respect to the consolidated financial statements included in the Annual Report of Apollomics Inc. on Form 20-F for the year ended December 31, 2024 and for each of the two years in the period ended December 31, 2024. We consent to the incorporation by reference of said report in the Registration Statement of Apollomics Inc. on Form S-8 (File No. 333-293148 and File No. 333-272559) and on Forms F-3 (File No. 333-279549, File No. 222-278431, and File No. 333-278430).</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 GRANT THORNTON LLP</w:t>
      </w:r>
    </w:p>
    <w:p>
      <w:pPr>
        <w:pStyle w:val="TextBody"/>
        <w:bidi w:val="0"/>
        <w:jc w:val="left"/>
        <w:rPr>
          <w:rFonts w:ascii="Times New Roman" w:hAnsi="Times New Roman"/>
          <w:color w:val="000000"/>
          <w:sz w:val="24"/>
        </w:rPr>
      </w:pPr>
      <w:r>
        <w:rPr>
          <w:rFonts w:ascii="Times New Roman" w:hAnsi="Times New Roman"/>
          <w:color w:val="000000"/>
          <w:sz w:val="24"/>
        </w:rPr>
        <w:t>San Francisco, California</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April 24,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77" w:name="aplm-ex15_2.htm"/>
      <w:bookmarkStart w:id="78" w:name="ksaplmex15_2"/>
      <w:bookmarkEnd w:id="77"/>
      <w:bookmarkEnd w:id="78"/>
      <w:r>
        <w:rPr/>
        <w:drawing>
          <wp:inline distT="0" distB="0" distL="0" distR="0">
            <wp:extent cx="2181225"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3"/>
                    <a:stretch>
                      <a:fillRect/>
                    </a:stretch>
                  </pic:blipFill>
                  <pic:spPr bwMode="auto">
                    <a:xfrm>
                      <a:off x="0" y="0"/>
                      <a:ext cx="2181225" cy="342900"/>
                    </a:xfrm>
                    <a:prstGeom prst="rect">
                      <a:avLst/>
                    </a:prstGeom>
                  </pic:spPr>
                </pic:pic>
              </a:graphicData>
            </a:graphic>
          </wp:inline>
        </w:drawing>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15.2</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INDEPENDENT REGISTERED PUBLIC ACCOUNTING FIRM’S CONSENT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We consent to the incorporation by reference in this Registration Statement on Form S-8 (File No. 333-293148 and File No. 333-272559) and Form F-3 (File No. 333-279549, File No. 222-278431, and File No. 333-278430) of our report dated April 24, 2026 relating to the financial statements appearing in the Annual Report on Form 20-F of Apollomics Inc.</w:t>
      </w:r>
      <w:r>
        <w:rPr>
          <w:rFonts w:ascii="Times New Roman" w:hAnsi="Times New Roman"/>
          <w:color w:val="000000"/>
          <w:sz w:val="20"/>
        </w:rPr>
        <w:t xml:space="preserve"> </w:t>
      </w:r>
      <w:r>
        <w:rPr>
          <w:rFonts w:ascii="Times New Roman" w:hAnsi="Times New Roman"/>
          <w:color w:val="000000"/>
          <w:sz w:val="24"/>
        </w:rPr>
        <w:t>for the year ended December 31, 2025. We also consent to the reference to us under the heading “Experts” in such Registration Statement.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Marcum Asia CPAs LLP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New York</w:t>
      </w:r>
    </w:p>
    <w:p>
      <w:pPr>
        <w:pStyle w:val="TextBody"/>
        <w:bidi w:val="0"/>
        <w:jc w:val="left"/>
        <w:rPr>
          <w:rFonts w:ascii="Times New Roman" w:hAnsi="Times New Roman"/>
          <w:color w:val="000000"/>
          <w:sz w:val="24"/>
        </w:rPr>
      </w:pPr>
      <w:r>
        <w:rPr>
          <w:rFonts w:ascii="Times New Roman" w:hAnsi="Times New Roman"/>
          <w:color w:val="000000"/>
          <w:sz w:val="24"/>
        </w:rPr>
        <w:t>April 24,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gif"/><Relationship Id="rId11" Type="http://schemas.openxmlformats.org/officeDocument/2006/relationships/hyperlink" Target="https://www.sec.gov/Archives/edgar/data/1944885/000119312523088218/d473873dex11.htm" TargetMode="External"/><Relationship Id="rId12" Type="http://schemas.openxmlformats.org/officeDocument/2006/relationships/hyperlink" Target="https://www.sec.gov/Archives/edgar/data/1944885/000119312522304941/d390280dex1013.htm" TargetMode="External"/><Relationship Id="rId13" Type="http://schemas.openxmlformats.org/officeDocument/2006/relationships/hyperlink" Target="https://www.sec.gov/Archives/edgar/data/1944885/000119312523088218/d473873dex48.htm" TargetMode="External"/><Relationship Id="rId14" Type="http://schemas.openxmlformats.org/officeDocument/2006/relationships/hyperlink" Target="https://www.sec.gov/Archives/edgar/data/1944885/000119312522291193/d390280dex105.htm" TargetMode="External"/><Relationship Id="rId15" Type="http://schemas.openxmlformats.org/officeDocument/2006/relationships/hyperlink" Target="https://www.sec.gov/Archives/edgar/data/1944885/000119312522291193/d390280dex106.htm" TargetMode="External"/><Relationship Id="rId16" Type="http://schemas.openxmlformats.org/officeDocument/2006/relationships/hyperlink" Target="https://www.sec.gov/Archives/edgar/data/1944885/000119312522291193/d390280dex107.htm" TargetMode="External"/><Relationship Id="rId17" Type="http://schemas.openxmlformats.org/officeDocument/2006/relationships/hyperlink" Target="https://www.sec.gov/Archives/edgar/data/1944885/000119312522291193/d390280dex108.htm" TargetMode="External"/><Relationship Id="rId18" Type="http://schemas.openxmlformats.org/officeDocument/2006/relationships/hyperlink" Target="https://www.sec.gov/Archives/edgar/data/1944885/000119312522291193/d390280dex109.htm" TargetMode="External"/><Relationship Id="rId19" Type="http://schemas.openxmlformats.org/officeDocument/2006/relationships/hyperlink" Target="https://www.sec.gov/Archives/edgar/data/1944885/000119312522291193/d390280dex1010.htm" TargetMode="External"/><Relationship Id="rId20" Type="http://schemas.openxmlformats.org/officeDocument/2006/relationships/hyperlink" Target="https://www.sec.gov/ix?doc=/Archives/edgar/data/0001944885/000095017024038107/aplm-20231231.htm" TargetMode="External"/><Relationship Id="rId21" Type="http://schemas.openxmlformats.org/officeDocument/2006/relationships/hyperlink" Target="https://www.sec.gov/Archives/edgar/data/1944885/000119312523043240/d390280dex1014.htm" TargetMode="External"/><Relationship Id="rId22" Type="http://schemas.openxmlformats.org/officeDocument/2006/relationships/hyperlink" Target="https://www.sec.gov/Archives/edgar/data/1944885/000119312523043240/d390280dex1015.htm" TargetMode="External"/><Relationship Id="rId23" Type="http://schemas.openxmlformats.org/officeDocument/2006/relationships/hyperlink" Target="https://www.sec.gov/Archives/edgar/data/1944885/000119312522304941/d390280dex44.htm" TargetMode="External"/><Relationship Id="rId24" Type="http://schemas.openxmlformats.org/officeDocument/2006/relationships/hyperlink" Target="https://www.sec.gov/Archives/edgar/data/1944885/000119312523088218/d473873dex23.htm" TargetMode="External"/><Relationship Id="rId25" Type="http://schemas.openxmlformats.org/officeDocument/2006/relationships/hyperlink" Target="https://www.sec.gov/Archives/edgar/data/1944885/000119312523088218/d473873dex45.htm" TargetMode="External"/><Relationship Id="rId26" Type="http://schemas.openxmlformats.org/officeDocument/2006/relationships/hyperlink" Target="https://www.sec.gov/Archives/edgar/data/1944885/000095017025050531/aplm-ex4_17.htm" TargetMode="External"/><Relationship Id="rId27" Type="http://schemas.openxmlformats.org/officeDocument/2006/relationships/hyperlink" Target="https://www.sec.gov/ix?doc=/Archives/edgar/data/0001944885/000095017024038107/aplm-20231231.htm" TargetMode="External"/><Relationship Id="rId28" Type="http://schemas.openxmlformats.org/officeDocument/2006/relationships/hyperlink" Target="https://www.sec.gov/Archives/edgar/data/1944885/000095017025050531/aplm-ex4_17.htm" TargetMode="External"/><Relationship Id="rId29" Type="http://schemas.openxmlformats.org/officeDocument/2006/relationships/hyperlink" Target="https://www.sec.gov/ix?doc=/Archives/edgar/data/0001944885/000095017024038107/aplm-20231231.htm" TargetMode="External"/><Relationship Id="rId30" Type="http://schemas.openxmlformats.org/officeDocument/2006/relationships/image" Target="media/image10.gif"/><Relationship Id="rId31" Type="http://schemas.openxmlformats.org/officeDocument/2006/relationships/image" Target="media/image11.gif"/><Relationship Id="rId32" Type="http://schemas.openxmlformats.org/officeDocument/2006/relationships/image" Target="media/image11.gif"/><Relationship Id="rId33" Type="http://schemas.openxmlformats.org/officeDocument/2006/relationships/image" Target="media/image10.gif"/><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127507</Words>
  <Characters>700236</Characters>
  <CharactersWithSpaces>828609</CharactersWithSpaces>
  <Paragraphs>14206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